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BE" w:rsidRDefault="00755770">
      <w:pPr>
        <w:rPr>
          <w:b/>
        </w:rPr>
      </w:pPr>
      <w:bookmarkStart w:id="0" w:name="_GoBack"/>
      <w:bookmarkEnd w:id="0"/>
      <w:r>
        <w:rPr>
          <w:b/>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876300" cy="828675"/>
            <wp:effectExtent l="0" t="0" r="0" b="0"/>
            <wp:wrapSquare wrapText="bothSides"/>
            <wp:docPr id="225" name="Bild 225"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krc-logo-cmykljusare färg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2BE" w:rsidRDefault="005702BE">
      <w:pPr>
        <w:rPr>
          <w:b/>
        </w:rPr>
      </w:pPr>
    </w:p>
    <w:p w:rsidR="00AA77BA" w:rsidRPr="005702BE" w:rsidRDefault="005702BE">
      <w:pPr>
        <w:rPr>
          <w:rFonts w:ascii="Verdana" w:hAnsi="Verdana"/>
          <w:b/>
        </w:rPr>
      </w:pPr>
      <w:r>
        <w:rPr>
          <w:rFonts w:ascii="Verdana" w:hAnsi="Verdana"/>
          <w:b/>
        </w:rPr>
        <w:t xml:space="preserve">                             </w:t>
      </w:r>
      <w:r w:rsidR="00332FCA" w:rsidRPr="005702BE">
        <w:rPr>
          <w:rFonts w:ascii="Verdana" w:hAnsi="Verdana"/>
          <w:b/>
        </w:rPr>
        <w:t>Kalorimeter</w:t>
      </w:r>
    </w:p>
    <w:p w:rsidR="00AA77BA" w:rsidRDefault="00AA77BA"/>
    <w:p w:rsidR="005702BE" w:rsidRDefault="005702BE"/>
    <w:p w:rsidR="00DF4E25" w:rsidRDefault="0063587B">
      <w:r>
        <w:t>Dagligen påminns vi om</w:t>
      </w:r>
      <w:r w:rsidR="00170246">
        <w:t xml:space="preserve"> jordklotets</w:t>
      </w:r>
      <w:r>
        <w:t xml:space="preserve"> </w:t>
      </w:r>
      <w:r w:rsidR="00170246">
        <w:t xml:space="preserve">klimatförändringar och den senaste tiden har även vi själva märkt av det, </w:t>
      </w:r>
      <w:r w:rsidR="0000237E">
        <w:t>tack vare</w:t>
      </w:r>
      <w:r w:rsidR="00170246">
        <w:t xml:space="preserve"> den konstiga hösten. </w:t>
      </w:r>
      <w:r w:rsidR="0065567F">
        <w:t xml:space="preserve">Vi kan inte låta bli att </w:t>
      </w:r>
      <w:r w:rsidR="00170246">
        <w:t xml:space="preserve">diskutera med </w:t>
      </w:r>
      <w:r w:rsidR="0065567F">
        <w:t>våra</w:t>
      </w:r>
      <w:r w:rsidR="00170246">
        <w:t xml:space="preserve"> elever om bränslen och alternativa energikällor. </w:t>
      </w:r>
      <w:r w:rsidR="0000237E">
        <w:t xml:space="preserve">Teoretiskt förstår man att bränslen kan ha olika energiinnehåll, men hur kan man mäta det? </w:t>
      </w:r>
      <w:r w:rsidR="0065567F">
        <w:t>Kan man dra</w:t>
      </w:r>
      <w:r w:rsidR="00170246">
        <w:t xml:space="preserve"> </w:t>
      </w:r>
      <w:r w:rsidR="0000237E">
        <w:t>paralleller med</w:t>
      </w:r>
      <w:r w:rsidR="00DF4E25">
        <w:t xml:space="preserve"> den mat vi stoppar i oss</w:t>
      </w:r>
      <w:r w:rsidR="0065567F">
        <w:t>?</w:t>
      </w:r>
      <w:r w:rsidR="00895C0C">
        <w:t xml:space="preserve"> Mat </w:t>
      </w:r>
      <w:r w:rsidR="00DF4E25">
        <w:t>är bränsle till de kemiska reaktioner som sker i kroppen.</w:t>
      </w:r>
    </w:p>
    <w:p w:rsidR="003E0C25" w:rsidRDefault="00F75F3F" w:rsidP="003E0C25">
      <w:r>
        <w:rPr>
          <w:b/>
        </w:rPr>
        <w:t>Teori:</w:t>
      </w:r>
      <w:r w:rsidR="003E0C25">
        <w:rPr>
          <w:b/>
        </w:rPr>
        <w:t xml:space="preserve"> </w:t>
      </w:r>
      <w:r w:rsidR="003E0C25">
        <w:t xml:space="preserve">Genom att bränna bränslen och med den energin värma vatten, så kan man jämföra olika ämnen och deras energiinnehåll. Ju större temperaturökningen desto större energiinnehåll, under förutsättning att </w:t>
      </w:r>
      <w:r w:rsidR="00A80035">
        <w:t xml:space="preserve">man har värmt </w:t>
      </w:r>
      <w:r w:rsidR="003E0C25">
        <w:t xml:space="preserve">samma volym vatten och </w:t>
      </w:r>
      <w:r w:rsidR="00A80035">
        <w:t xml:space="preserve">bränt </w:t>
      </w:r>
      <w:r w:rsidR="003E0C25">
        <w:t xml:space="preserve">ungefär samma mängd ämne. </w:t>
      </w:r>
      <w:r w:rsidR="00A80035">
        <w:t>Förbränningsentalpin kan sedan beräknas med hjälp av vattnets värmekapacitet.</w:t>
      </w:r>
    </w:p>
    <w:p w:rsidR="00210B25" w:rsidRDefault="00755770" w:rsidP="003E0C25">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2286000" cy="1659890"/>
            <wp:effectExtent l="0" t="0" r="0" b="0"/>
            <wp:wrapNone/>
            <wp:docPr id="224" name="Bild 224" descr="kalorimeter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kalorimeter 007"/>
                    <pic:cNvPicPr>
                      <a:picLocks noChangeAspect="1" noChangeArrowheads="1"/>
                    </pic:cNvPicPr>
                  </pic:nvPicPr>
                  <pic:blipFill>
                    <a:blip r:embed="rId5" cstate="print">
                      <a:extLst>
                        <a:ext uri="{28A0092B-C50C-407E-A947-70E740481C1C}">
                          <a14:useLocalDpi xmlns:a14="http://schemas.microsoft.com/office/drawing/2010/main" val="0"/>
                        </a:ext>
                      </a:extLst>
                    </a:blip>
                    <a:srcRect r="1625" b="4716"/>
                    <a:stretch>
                      <a:fillRect/>
                    </a:stretch>
                  </pic:blipFill>
                  <pic:spPr bwMode="auto">
                    <a:xfrm>
                      <a:off x="0" y="0"/>
                      <a:ext cx="228600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035" w:rsidRDefault="007170ED" w:rsidP="00210B25">
      <w:pPr>
        <w:ind w:left="3912"/>
      </w:pPr>
      <w:r>
        <w:rPr>
          <w:b/>
        </w:rPr>
        <w:t>Material och utrustning:</w:t>
      </w:r>
      <w:r w:rsidR="00A80035">
        <w:t xml:space="preserve"> </w:t>
      </w:r>
      <w:r w:rsidR="00210B25">
        <w:t xml:space="preserve">Bränslen, t.ex. metanol, </w:t>
      </w:r>
      <w:r>
        <w:t xml:space="preserve">etanol, propanol eller torkade jordnötter. </w:t>
      </w:r>
    </w:p>
    <w:p w:rsidR="00A80035" w:rsidRDefault="007170ED" w:rsidP="00210B25">
      <w:pPr>
        <w:ind w:left="2608" w:firstLine="1304"/>
      </w:pPr>
      <w:r>
        <w:t>Burk isolerad med</w:t>
      </w:r>
      <w:r w:rsidR="00A80035">
        <w:t xml:space="preserve"> </w:t>
      </w:r>
      <w:r>
        <w:t>cellplast (finns att köpa på bygg</w:t>
      </w:r>
      <w:r w:rsidR="00A80035">
        <w:t>-</w:t>
      </w:r>
    </w:p>
    <w:p w:rsidR="00210B25" w:rsidRDefault="007170ED" w:rsidP="00210B25">
      <w:pPr>
        <w:ind w:left="2608" w:firstLine="1304"/>
      </w:pPr>
      <w:r>
        <w:t>varuhus),</w:t>
      </w:r>
      <w:r w:rsidR="00A80035">
        <w:t xml:space="preserve"> </w:t>
      </w:r>
      <w:r>
        <w:t>E-kolv (ska exakt få plats i burk</w:t>
      </w:r>
      <w:r w:rsidR="00210B25">
        <w:t>en),</w:t>
      </w:r>
    </w:p>
    <w:p w:rsidR="00210B25" w:rsidRDefault="00A80035" w:rsidP="00210B25">
      <w:pPr>
        <w:ind w:left="2608" w:firstLine="1304"/>
      </w:pPr>
      <w:r>
        <w:t>mät</w:t>
      </w:r>
      <w:r w:rsidR="00210B25">
        <w:t xml:space="preserve">glas </w:t>
      </w:r>
      <w:r w:rsidR="007170ED">
        <w:t>(eller pipett) porslinsdegel med lock,</w:t>
      </w:r>
      <w:r>
        <w:t xml:space="preserve"> </w:t>
      </w:r>
      <w:r w:rsidR="007170ED">
        <w:t>gem,</w:t>
      </w:r>
    </w:p>
    <w:p w:rsidR="00A80035" w:rsidRDefault="00895C0C" w:rsidP="00210B25">
      <w:pPr>
        <w:ind w:left="2608" w:firstLine="1304"/>
      </w:pPr>
      <w:r>
        <w:t>kork, termometer, muff, klämma,</w:t>
      </w:r>
      <w:r w:rsidR="00A80035">
        <w:t xml:space="preserve"> </w:t>
      </w:r>
      <w:r>
        <w:t xml:space="preserve">stativring, </w:t>
      </w:r>
    </w:p>
    <w:p w:rsidR="007170ED" w:rsidRDefault="00895C0C" w:rsidP="00210B25">
      <w:pPr>
        <w:ind w:left="2608" w:firstLine="1304"/>
      </w:pPr>
      <w:r>
        <w:t>degeltång och tändstickor.</w:t>
      </w:r>
    </w:p>
    <w:p w:rsidR="00A20AA4" w:rsidRDefault="00A20AA4" w:rsidP="00210B25">
      <w:pPr>
        <w:ind w:left="2608" w:firstLine="1304"/>
      </w:pPr>
    </w:p>
    <w:p w:rsidR="007D35DD" w:rsidRDefault="007D35DD"/>
    <w:p w:rsidR="007D35DD" w:rsidRDefault="007D35DD">
      <w:pPr>
        <w:rPr>
          <w:b/>
        </w:rPr>
      </w:pPr>
      <w:r>
        <w:rPr>
          <w:b/>
        </w:rPr>
        <w:t xml:space="preserve">Utförande: </w:t>
      </w:r>
    </w:p>
    <w:p w:rsidR="00C8370B" w:rsidRDefault="00755770">
      <w:r>
        <w:rPr>
          <w:noProof/>
        </w:rPr>
        <w:drawing>
          <wp:anchor distT="0" distB="0" distL="114300" distR="114300" simplePos="0" relativeHeight="251656704" behindDoc="0" locked="0" layoutInCell="1" allowOverlap="1">
            <wp:simplePos x="0" y="0"/>
            <wp:positionH relativeFrom="column">
              <wp:posOffset>3429000</wp:posOffset>
            </wp:positionH>
            <wp:positionV relativeFrom="paragraph">
              <wp:posOffset>635</wp:posOffset>
            </wp:positionV>
            <wp:extent cx="2310130" cy="3418205"/>
            <wp:effectExtent l="0" t="0" r="0" b="0"/>
            <wp:wrapNone/>
            <wp:docPr id="221" name="Bild 221" descr="kalorimeter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kalorimeter 004"/>
                    <pic:cNvPicPr>
                      <a:picLocks noChangeAspect="1" noChangeArrowheads="1"/>
                    </pic:cNvPicPr>
                  </pic:nvPicPr>
                  <pic:blipFill>
                    <a:blip r:embed="rId6" cstate="print">
                      <a:extLst>
                        <a:ext uri="{28A0092B-C50C-407E-A947-70E740481C1C}">
                          <a14:useLocalDpi xmlns:a14="http://schemas.microsoft.com/office/drawing/2010/main" val="0"/>
                        </a:ext>
                      </a:extLst>
                    </a:blip>
                    <a:srcRect l="2803" t="4523" r="18341" b="7915"/>
                    <a:stretch>
                      <a:fillRect/>
                    </a:stretch>
                  </pic:blipFill>
                  <pic:spPr bwMode="auto">
                    <a:xfrm>
                      <a:off x="0" y="0"/>
                      <a:ext cx="2310130" cy="341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5DD">
        <w:t>Bygg upp anordningen enligt figur.</w:t>
      </w:r>
    </w:p>
    <w:p w:rsidR="00895C0C" w:rsidRDefault="00951FA6">
      <w:r>
        <w:t>Se till att m</w:t>
      </w:r>
      <w:r w:rsidR="00895C0C">
        <w:t>an kan föra ned E-kolven mot degeln och</w:t>
      </w:r>
    </w:p>
    <w:p w:rsidR="00895C0C" w:rsidRDefault="00895C0C">
      <w:r>
        <w:t xml:space="preserve">den </w:t>
      </w:r>
      <w:r w:rsidR="00951FA6">
        <w:t xml:space="preserve">öppna </w:t>
      </w:r>
      <w:r>
        <w:t xml:space="preserve">lågan utan problem. Degeln med dess lock </w:t>
      </w:r>
    </w:p>
    <w:p w:rsidR="00895C0C" w:rsidRDefault="00895C0C">
      <w:r>
        <w:t>måste stå stadigt, med tillräckligt stort avstånd till</w:t>
      </w:r>
    </w:p>
    <w:p w:rsidR="00895C0C" w:rsidRDefault="00895C0C">
      <w:r>
        <w:t>burken, så att elden underhålls med syre.</w:t>
      </w:r>
    </w:p>
    <w:p w:rsidR="00895C0C" w:rsidRDefault="00951FA6">
      <w:r>
        <w:t>Tänk ut en strategi för hur bränslet ska tändas</w:t>
      </w:r>
      <w:r w:rsidR="00895C0C">
        <w:t xml:space="preserve"> (använd</w:t>
      </w:r>
    </w:p>
    <w:p w:rsidR="00895C0C" w:rsidRDefault="00895C0C">
      <w:r>
        <w:t>degeltång)</w:t>
      </w:r>
      <w:r w:rsidR="00951FA6">
        <w:t xml:space="preserve"> utan att värmeförlusterna blir för stora (om</w:t>
      </w:r>
    </w:p>
    <w:p w:rsidR="00895C0C" w:rsidRDefault="00951FA6">
      <w:r>
        <w:t>noggrannare mätningar ska utföras). Mängden brännbar</w:t>
      </w:r>
    </w:p>
    <w:p w:rsidR="003820C7" w:rsidRDefault="00951FA6">
      <w:r>
        <w:t>vätska mäts enklast genom att mäta volymen.</w:t>
      </w:r>
    </w:p>
    <w:p w:rsidR="0065567F" w:rsidRDefault="00FD7CF6">
      <w:r>
        <w:t>Hanterbara volymer är 1 cm</w:t>
      </w:r>
      <w:r w:rsidRPr="00FD7CF6">
        <w:rPr>
          <w:vertAlign w:val="superscript"/>
        </w:rPr>
        <w:t>3</w:t>
      </w:r>
      <w:r w:rsidR="0065567F">
        <w:t>. E</w:t>
      </w:r>
      <w:r>
        <w:t xml:space="preserve">n del av ämnena sotar </w:t>
      </w:r>
    </w:p>
    <w:p w:rsidR="00FD7CF6" w:rsidRDefault="00FD7CF6">
      <w:r>
        <w:t>rejält, utför experimentet i dragskåp.</w:t>
      </w:r>
    </w:p>
    <w:p w:rsidR="00FD7CF6" w:rsidRDefault="00FD7CF6">
      <w:r>
        <w:t>Vill man bränna en jordnöt kan man fästa den på ett</w:t>
      </w:r>
    </w:p>
    <w:p w:rsidR="00FD7CF6" w:rsidRDefault="00FD7CF6">
      <w:r>
        <w:t xml:space="preserve">gem och </w:t>
      </w:r>
      <w:r w:rsidR="0065567F">
        <w:t xml:space="preserve">sedan lägga allt på degellocket. Väg jordnöten </w:t>
      </w:r>
    </w:p>
    <w:p w:rsidR="0065567F" w:rsidRDefault="0065567F">
      <w:r>
        <w:t>före och efter att du bränt den.</w:t>
      </w:r>
    </w:p>
    <w:p w:rsidR="00765178" w:rsidRDefault="00765178">
      <w:r>
        <w:t xml:space="preserve">Välj en E-kolv tunt glas (som tål att hettas upp) och </w:t>
      </w:r>
    </w:p>
    <w:p w:rsidR="00765178" w:rsidRDefault="00765178">
      <w:r>
        <w:t>fyll den med lämplig volym vatten (t.ex. 75 cm</w:t>
      </w:r>
      <w:r w:rsidRPr="00765178">
        <w:rPr>
          <w:vertAlign w:val="superscript"/>
        </w:rPr>
        <w:t>3</w:t>
      </w:r>
      <w:r>
        <w:t>).</w:t>
      </w:r>
    </w:p>
    <w:p w:rsidR="00765178" w:rsidRDefault="00765178">
      <w:r>
        <w:t>Anteckna utgångstemperatur, sätt eld på ämnet, för ned</w:t>
      </w:r>
    </w:p>
    <w:p w:rsidR="00B34FD4" w:rsidRDefault="00765178">
      <w:r>
        <w:t>E-kolven</w:t>
      </w:r>
      <w:r w:rsidR="00B34FD4">
        <w:t xml:space="preserve"> i burken och låt vattnet värmas upp av ämnet</w:t>
      </w:r>
    </w:p>
    <w:p w:rsidR="00B34FD4" w:rsidRDefault="00B34FD4">
      <w:r>
        <w:t xml:space="preserve">som brinner. När lågan har slocknat vänta till det att </w:t>
      </w:r>
    </w:p>
    <w:p w:rsidR="00E80192" w:rsidRDefault="00B34FD4">
      <w:r>
        <w:t>vattnet nått högsta möjliga temperatur.</w:t>
      </w:r>
    </w:p>
    <w:p w:rsidR="0065567F" w:rsidRPr="00E80192" w:rsidRDefault="0065567F"/>
    <w:p w:rsidR="005A66DD" w:rsidRPr="00447318" w:rsidRDefault="005B5040">
      <w:r>
        <w:rPr>
          <w:b/>
        </w:rPr>
        <w:t>För riskbedömning:</w:t>
      </w:r>
      <w:r w:rsidR="00447318">
        <w:t xml:space="preserve"> </w:t>
      </w:r>
      <w:r w:rsidR="00951FA6">
        <w:t>Undvik att ha förrådsflaskor med brännbara vätskor i närheten av öppen låga. T.ex. Propanol och bensin sotar kraftigt, experimentet bör utföras i dragskåp.</w:t>
      </w:r>
    </w:p>
    <w:p w:rsidR="00F71379" w:rsidRDefault="00F71379">
      <w:pPr>
        <w:rPr>
          <w:b/>
        </w:rPr>
      </w:pPr>
    </w:p>
    <w:p w:rsidR="00E80192" w:rsidRDefault="00E80192">
      <w:r>
        <w:rPr>
          <w:b/>
        </w:rPr>
        <w:lastRenderedPageBreak/>
        <w:t xml:space="preserve">Resultat: </w:t>
      </w:r>
      <w:r w:rsidRPr="00E80192">
        <w:t>Vi gjorde en mät</w:t>
      </w:r>
      <w:r>
        <w:t xml:space="preserve">serie med </w:t>
      </w:r>
      <w:r w:rsidR="00F83075">
        <w:t xml:space="preserve">5 olika lösningsmedel </w:t>
      </w:r>
      <w:r w:rsidR="00F83075" w:rsidRPr="00F83075">
        <w:t>(</w:t>
      </w:r>
      <w:r w:rsidR="00F83075">
        <w:t>1 cm</w:t>
      </w:r>
      <w:r w:rsidR="00F83075" w:rsidRPr="00FD7CF6">
        <w:rPr>
          <w:vertAlign w:val="superscript"/>
        </w:rPr>
        <w:t>3</w:t>
      </w:r>
      <w:r w:rsidRPr="00F83075">
        <w:t xml:space="preserve"> </w:t>
      </w:r>
      <w:r w:rsidR="00F83075" w:rsidRPr="00F83075">
        <w:t>av</w:t>
      </w:r>
      <w:r w:rsidR="00F83075">
        <w:rPr>
          <w:b/>
        </w:rPr>
        <w:t xml:space="preserve"> </w:t>
      </w:r>
      <w:r w:rsidR="00F83075" w:rsidRPr="00F83075">
        <w:t>varde</w:t>
      </w:r>
      <w:r w:rsidR="00F83075">
        <w:t>ra) och värmde 75 cm</w:t>
      </w:r>
      <w:r w:rsidR="00F83075" w:rsidRPr="00765178">
        <w:rPr>
          <w:vertAlign w:val="superscript"/>
        </w:rPr>
        <w:t>3</w:t>
      </w:r>
      <w:r w:rsidR="00F83075">
        <w:t xml:space="preserve"> vatten. Med hjälp av vattnets specifika värmekapaci</w:t>
      </w:r>
      <w:r w:rsidR="00932749">
        <w:t>tivi</w:t>
      </w:r>
      <w:r w:rsidR="00F83075">
        <w:t>tet och temperaturskillnaderna</w:t>
      </w:r>
      <w:r w:rsidR="00177884">
        <w:t xml:space="preserve"> beräknades förebränningsentalpin. Värdena kan jämföras med respektive litteraturvärden. De uppmätta värdena blir mellan 40-50</w:t>
      </w:r>
      <w:r w:rsidR="0022047D">
        <w:t xml:space="preserve"> </w:t>
      </w:r>
      <w:r w:rsidR="00177884">
        <w:t>% av litteraturvärdena.</w:t>
      </w:r>
      <w:r w:rsidR="007F61CE">
        <w:t xml:space="preserve"> </w:t>
      </w:r>
      <w:r w:rsidR="00971905">
        <w:t>Vi brände även torkade jordnötter. Det upp mätta värdet blev 60 % av litteraturvärdet, utan hänsyn taget till de produkter som bildats vid förbränningen.</w:t>
      </w:r>
    </w:p>
    <w:p w:rsidR="00A20AA4" w:rsidRDefault="00A20AA4"/>
    <w:tbl>
      <w:tblPr>
        <w:tblW w:w="9356" w:type="dxa"/>
        <w:tblInd w:w="60" w:type="dxa"/>
        <w:tblCellMar>
          <w:left w:w="70" w:type="dxa"/>
          <w:right w:w="70" w:type="dxa"/>
        </w:tblCellMar>
        <w:tblLook w:val="0000" w:firstRow="0" w:lastRow="0" w:firstColumn="0" w:lastColumn="0" w:noHBand="0" w:noVBand="0"/>
      </w:tblPr>
      <w:tblGrid>
        <w:gridCol w:w="1325"/>
        <w:gridCol w:w="985"/>
        <w:gridCol w:w="1824"/>
        <w:gridCol w:w="1902"/>
        <w:gridCol w:w="1902"/>
        <w:gridCol w:w="1418"/>
      </w:tblGrid>
      <w:tr w:rsidR="000F603B">
        <w:trPr>
          <w:trHeight w:val="962"/>
        </w:trPr>
        <w:tc>
          <w:tcPr>
            <w:tcW w:w="13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603B" w:rsidRDefault="000F603B">
            <w:pPr>
              <w:rPr>
                <w:b/>
                <w:bCs/>
                <w:sz w:val="20"/>
                <w:szCs w:val="20"/>
              </w:rPr>
            </w:pPr>
            <w:r>
              <w:rPr>
                <w:b/>
                <w:bCs/>
                <w:sz w:val="20"/>
                <w:szCs w:val="20"/>
              </w:rPr>
              <w:t>ämne</w:t>
            </w:r>
          </w:p>
        </w:tc>
        <w:tc>
          <w:tcPr>
            <w:tcW w:w="985" w:type="dxa"/>
            <w:tcBorders>
              <w:top w:val="single" w:sz="8" w:space="0" w:color="auto"/>
              <w:left w:val="nil"/>
              <w:bottom w:val="single" w:sz="8" w:space="0" w:color="auto"/>
              <w:right w:val="single" w:sz="4" w:space="0" w:color="auto"/>
            </w:tcBorders>
            <w:shd w:val="clear" w:color="auto" w:fill="auto"/>
            <w:vAlign w:val="center"/>
          </w:tcPr>
          <w:p w:rsidR="000F603B" w:rsidRDefault="000F603B">
            <w:pPr>
              <w:jc w:val="center"/>
              <w:rPr>
                <w:b/>
                <w:bCs/>
                <w:sz w:val="20"/>
                <w:szCs w:val="20"/>
              </w:rPr>
            </w:pPr>
            <w:r>
              <w:rPr>
                <w:b/>
                <w:bCs/>
                <w:sz w:val="20"/>
                <w:szCs w:val="20"/>
              </w:rPr>
              <w:t>bränt ämne, g</w:t>
            </w:r>
          </w:p>
        </w:tc>
        <w:tc>
          <w:tcPr>
            <w:tcW w:w="1824" w:type="dxa"/>
            <w:tcBorders>
              <w:top w:val="single" w:sz="8" w:space="0" w:color="auto"/>
              <w:left w:val="nil"/>
              <w:bottom w:val="single" w:sz="8" w:space="0" w:color="auto"/>
              <w:right w:val="single" w:sz="4" w:space="0" w:color="auto"/>
            </w:tcBorders>
            <w:shd w:val="clear" w:color="auto" w:fill="auto"/>
            <w:vAlign w:val="center"/>
          </w:tcPr>
          <w:p w:rsidR="000F603B" w:rsidRDefault="000F603B">
            <w:pPr>
              <w:jc w:val="center"/>
              <w:rPr>
                <w:b/>
                <w:bCs/>
                <w:sz w:val="20"/>
                <w:szCs w:val="20"/>
              </w:rPr>
            </w:pPr>
            <w:r>
              <w:rPr>
                <w:b/>
                <w:bCs/>
                <w:sz w:val="20"/>
                <w:szCs w:val="20"/>
              </w:rPr>
              <w:t>temperaturhöjning, grader,                    75 cm</w:t>
            </w:r>
            <w:r>
              <w:rPr>
                <w:b/>
                <w:bCs/>
                <w:sz w:val="20"/>
                <w:szCs w:val="20"/>
                <w:vertAlign w:val="superscript"/>
              </w:rPr>
              <w:t>3</w:t>
            </w:r>
            <w:r>
              <w:rPr>
                <w:b/>
                <w:bCs/>
                <w:sz w:val="20"/>
                <w:szCs w:val="20"/>
              </w:rPr>
              <w:t xml:space="preserve"> vatten</w:t>
            </w:r>
          </w:p>
        </w:tc>
        <w:tc>
          <w:tcPr>
            <w:tcW w:w="1902" w:type="dxa"/>
            <w:tcBorders>
              <w:top w:val="single" w:sz="8" w:space="0" w:color="auto"/>
              <w:left w:val="nil"/>
              <w:bottom w:val="single" w:sz="8" w:space="0" w:color="auto"/>
              <w:right w:val="single" w:sz="4" w:space="0" w:color="auto"/>
            </w:tcBorders>
            <w:shd w:val="clear" w:color="auto" w:fill="auto"/>
            <w:vAlign w:val="center"/>
          </w:tcPr>
          <w:p w:rsidR="000F603B" w:rsidRDefault="000F603B">
            <w:pPr>
              <w:jc w:val="center"/>
              <w:rPr>
                <w:b/>
                <w:bCs/>
                <w:sz w:val="20"/>
                <w:szCs w:val="20"/>
              </w:rPr>
            </w:pPr>
            <w:r>
              <w:rPr>
                <w:b/>
                <w:bCs/>
                <w:sz w:val="20"/>
                <w:szCs w:val="20"/>
              </w:rPr>
              <w:t>förbränningsentalpi,           uppmätt/beräknat värde                      kJ/mol</w:t>
            </w:r>
          </w:p>
        </w:tc>
        <w:tc>
          <w:tcPr>
            <w:tcW w:w="1902" w:type="dxa"/>
            <w:tcBorders>
              <w:top w:val="single" w:sz="8" w:space="0" w:color="auto"/>
              <w:left w:val="nil"/>
              <w:bottom w:val="single" w:sz="8" w:space="0" w:color="auto"/>
              <w:right w:val="single" w:sz="4" w:space="0" w:color="auto"/>
            </w:tcBorders>
            <w:shd w:val="clear" w:color="auto" w:fill="auto"/>
            <w:vAlign w:val="center"/>
          </w:tcPr>
          <w:p w:rsidR="000F603B" w:rsidRDefault="000F603B">
            <w:pPr>
              <w:jc w:val="center"/>
              <w:rPr>
                <w:b/>
                <w:bCs/>
                <w:sz w:val="20"/>
                <w:szCs w:val="20"/>
              </w:rPr>
            </w:pPr>
            <w:r>
              <w:rPr>
                <w:b/>
                <w:bCs/>
                <w:sz w:val="20"/>
                <w:szCs w:val="20"/>
              </w:rPr>
              <w:t>förbränningsentalpi,           litteraturvärde              kJ/mol</w:t>
            </w:r>
          </w:p>
        </w:tc>
        <w:tc>
          <w:tcPr>
            <w:tcW w:w="1418" w:type="dxa"/>
            <w:tcBorders>
              <w:top w:val="single" w:sz="8" w:space="0" w:color="auto"/>
              <w:left w:val="nil"/>
              <w:bottom w:val="single" w:sz="8" w:space="0" w:color="auto"/>
              <w:right w:val="single" w:sz="8" w:space="0" w:color="auto"/>
            </w:tcBorders>
            <w:shd w:val="clear" w:color="auto" w:fill="auto"/>
            <w:vAlign w:val="center"/>
          </w:tcPr>
          <w:p w:rsidR="000F603B" w:rsidRDefault="000F603B">
            <w:pPr>
              <w:jc w:val="center"/>
              <w:rPr>
                <w:b/>
                <w:bCs/>
                <w:sz w:val="20"/>
                <w:szCs w:val="20"/>
              </w:rPr>
            </w:pPr>
            <w:r>
              <w:rPr>
                <w:b/>
                <w:bCs/>
                <w:sz w:val="20"/>
                <w:szCs w:val="20"/>
              </w:rPr>
              <w:t>uppmätt värde /  litteraturvärde</w:t>
            </w:r>
          </w:p>
        </w:tc>
      </w:tr>
      <w:tr w:rsidR="000F603B">
        <w:trPr>
          <w:trHeight w:val="234"/>
        </w:trPr>
        <w:tc>
          <w:tcPr>
            <w:tcW w:w="1325" w:type="dxa"/>
            <w:tcBorders>
              <w:top w:val="nil"/>
              <w:left w:val="single" w:sz="8" w:space="0" w:color="auto"/>
              <w:bottom w:val="nil"/>
              <w:right w:val="single" w:sz="8" w:space="0" w:color="auto"/>
            </w:tcBorders>
            <w:shd w:val="clear" w:color="auto" w:fill="auto"/>
            <w:noWrap/>
            <w:vAlign w:val="bottom"/>
          </w:tcPr>
          <w:p w:rsidR="000F603B" w:rsidRDefault="000F603B">
            <w:r>
              <w:t>metanol</w:t>
            </w:r>
          </w:p>
        </w:tc>
        <w:tc>
          <w:tcPr>
            <w:tcW w:w="985" w:type="dxa"/>
            <w:tcBorders>
              <w:top w:val="nil"/>
              <w:left w:val="nil"/>
              <w:bottom w:val="nil"/>
              <w:right w:val="single" w:sz="4" w:space="0" w:color="auto"/>
            </w:tcBorders>
            <w:shd w:val="clear" w:color="auto" w:fill="auto"/>
            <w:noWrap/>
            <w:vAlign w:val="bottom"/>
          </w:tcPr>
          <w:p w:rsidR="000F603B" w:rsidRDefault="000F603B">
            <w:pPr>
              <w:jc w:val="center"/>
            </w:pPr>
            <w:r>
              <w:t>0,793</w:t>
            </w:r>
          </w:p>
        </w:tc>
        <w:tc>
          <w:tcPr>
            <w:tcW w:w="1824" w:type="dxa"/>
            <w:tcBorders>
              <w:top w:val="nil"/>
              <w:left w:val="nil"/>
              <w:bottom w:val="nil"/>
              <w:right w:val="single" w:sz="4" w:space="0" w:color="auto"/>
            </w:tcBorders>
            <w:shd w:val="clear" w:color="auto" w:fill="auto"/>
            <w:noWrap/>
            <w:vAlign w:val="bottom"/>
          </w:tcPr>
          <w:p w:rsidR="000F603B" w:rsidRDefault="000F603B">
            <w:pPr>
              <w:jc w:val="center"/>
            </w:pPr>
            <w:r>
              <w:t>25,9</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-327</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-726</w:t>
            </w:r>
          </w:p>
        </w:tc>
        <w:tc>
          <w:tcPr>
            <w:tcW w:w="1418" w:type="dxa"/>
            <w:tcBorders>
              <w:top w:val="nil"/>
              <w:left w:val="nil"/>
              <w:bottom w:val="nil"/>
              <w:right w:val="single" w:sz="8" w:space="0" w:color="auto"/>
            </w:tcBorders>
            <w:shd w:val="clear" w:color="auto" w:fill="auto"/>
            <w:noWrap/>
            <w:vAlign w:val="center"/>
          </w:tcPr>
          <w:p w:rsidR="000F603B" w:rsidRDefault="000F603B">
            <w:pPr>
              <w:jc w:val="center"/>
            </w:pPr>
            <w:r>
              <w:t>0,45</w:t>
            </w:r>
          </w:p>
        </w:tc>
      </w:tr>
      <w:tr w:rsidR="000F603B">
        <w:trPr>
          <w:trHeight w:val="234"/>
        </w:trPr>
        <w:tc>
          <w:tcPr>
            <w:tcW w:w="1325" w:type="dxa"/>
            <w:tcBorders>
              <w:top w:val="nil"/>
              <w:left w:val="single" w:sz="8" w:space="0" w:color="auto"/>
              <w:bottom w:val="nil"/>
              <w:right w:val="single" w:sz="8" w:space="0" w:color="auto"/>
            </w:tcBorders>
            <w:shd w:val="clear" w:color="auto" w:fill="auto"/>
            <w:noWrap/>
            <w:vAlign w:val="bottom"/>
          </w:tcPr>
          <w:p w:rsidR="000F603B" w:rsidRDefault="000F603B">
            <w:r>
              <w:t>etanol</w:t>
            </w:r>
          </w:p>
        </w:tc>
        <w:tc>
          <w:tcPr>
            <w:tcW w:w="985" w:type="dxa"/>
            <w:tcBorders>
              <w:top w:val="nil"/>
              <w:left w:val="nil"/>
              <w:bottom w:val="nil"/>
              <w:right w:val="single" w:sz="4" w:space="0" w:color="auto"/>
            </w:tcBorders>
            <w:shd w:val="clear" w:color="auto" w:fill="auto"/>
            <w:noWrap/>
            <w:vAlign w:val="bottom"/>
          </w:tcPr>
          <w:p w:rsidR="000F603B" w:rsidRDefault="000F603B">
            <w:pPr>
              <w:jc w:val="center"/>
            </w:pPr>
            <w:r>
              <w:t>0,789</w:t>
            </w:r>
          </w:p>
        </w:tc>
        <w:tc>
          <w:tcPr>
            <w:tcW w:w="1824" w:type="dxa"/>
            <w:tcBorders>
              <w:top w:val="nil"/>
              <w:left w:val="nil"/>
              <w:bottom w:val="nil"/>
              <w:right w:val="single" w:sz="4" w:space="0" w:color="auto"/>
            </w:tcBorders>
            <w:shd w:val="clear" w:color="auto" w:fill="auto"/>
            <w:noWrap/>
            <w:vAlign w:val="bottom"/>
          </w:tcPr>
          <w:p w:rsidR="000F603B" w:rsidRDefault="000F603B">
            <w:pPr>
              <w:jc w:val="center"/>
            </w:pPr>
            <w:r>
              <w:t>31,7</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-579</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-1367,3</w:t>
            </w:r>
          </w:p>
        </w:tc>
        <w:tc>
          <w:tcPr>
            <w:tcW w:w="1418" w:type="dxa"/>
            <w:tcBorders>
              <w:top w:val="nil"/>
              <w:left w:val="nil"/>
              <w:bottom w:val="nil"/>
              <w:right w:val="single" w:sz="8" w:space="0" w:color="auto"/>
            </w:tcBorders>
            <w:shd w:val="clear" w:color="auto" w:fill="auto"/>
            <w:noWrap/>
            <w:vAlign w:val="center"/>
          </w:tcPr>
          <w:p w:rsidR="000F603B" w:rsidRDefault="000F603B">
            <w:pPr>
              <w:jc w:val="center"/>
            </w:pPr>
            <w:r>
              <w:t>0,42</w:t>
            </w:r>
          </w:p>
        </w:tc>
      </w:tr>
      <w:tr w:rsidR="000F603B">
        <w:trPr>
          <w:trHeight w:val="234"/>
        </w:trPr>
        <w:tc>
          <w:tcPr>
            <w:tcW w:w="1325" w:type="dxa"/>
            <w:tcBorders>
              <w:top w:val="nil"/>
              <w:left w:val="single" w:sz="8" w:space="0" w:color="auto"/>
              <w:bottom w:val="nil"/>
              <w:right w:val="single" w:sz="8" w:space="0" w:color="auto"/>
            </w:tcBorders>
            <w:shd w:val="clear" w:color="auto" w:fill="auto"/>
            <w:noWrap/>
            <w:vAlign w:val="bottom"/>
          </w:tcPr>
          <w:p w:rsidR="000F603B" w:rsidRDefault="000F603B">
            <w:r>
              <w:t>1-propanol</w:t>
            </w:r>
          </w:p>
        </w:tc>
        <w:tc>
          <w:tcPr>
            <w:tcW w:w="985" w:type="dxa"/>
            <w:tcBorders>
              <w:top w:val="nil"/>
              <w:left w:val="nil"/>
              <w:bottom w:val="nil"/>
              <w:right w:val="single" w:sz="4" w:space="0" w:color="auto"/>
            </w:tcBorders>
            <w:shd w:val="clear" w:color="auto" w:fill="auto"/>
            <w:noWrap/>
            <w:vAlign w:val="bottom"/>
          </w:tcPr>
          <w:p w:rsidR="000F603B" w:rsidRDefault="000F603B">
            <w:pPr>
              <w:jc w:val="center"/>
            </w:pPr>
            <w:r>
              <w:t>0,804</w:t>
            </w:r>
          </w:p>
        </w:tc>
        <w:tc>
          <w:tcPr>
            <w:tcW w:w="1824" w:type="dxa"/>
            <w:tcBorders>
              <w:top w:val="nil"/>
              <w:left w:val="nil"/>
              <w:bottom w:val="nil"/>
              <w:right w:val="single" w:sz="4" w:space="0" w:color="auto"/>
            </w:tcBorders>
            <w:shd w:val="clear" w:color="auto" w:fill="auto"/>
            <w:noWrap/>
            <w:vAlign w:val="bottom"/>
          </w:tcPr>
          <w:p w:rsidR="000F603B" w:rsidRDefault="000F603B">
            <w:pPr>
              <w:jc w:val="center"/>
            </w:pPr>
            <w:r>
              <w:t>45,6</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-1066</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-2021</w:t>
            </w:r>
          </w:p>
        </w:tc>
        <w:tc>
          <w:tcPr>
            <w:tcW w:w="1418" w:type="dxa"/>
            <w:tcBorders>
              <w:top w:val="nil"/>
              <w:left w:val="nil"/>
              <w:bottom w:val="nil"/>
              <w:right w:val="single" w:sz="8" w:space="0" w:color="auto"/>
            </w:tcBorders>
            <w:shd w:val="clear" w:color="auto" w:fill="auto"/>
            <w:noWrap/>
            <w:vAlign w:val="center"/>
          </w:tcPr>
          <w:p w:rsidR="000F603B" w:rsidRDefault="000F603B">
            <w:pPr>
              <w:jc w:val="center"/>
            </w:pPr>
            <w:r>
              <w:t>0,53</w:t>
            </w:r>
          </w:p>
        </w:tc>
      </w:tr>
      <w:tr w:rsidR="000F603B">
        <w:trPr>
          <w:trHeight w:val="234"/>
        </w:trPr>
        <w:tc>
          <w:tcPr>
            <w:tcW w:w="1325" w:type="dxa"/>
            <w:tcBorders>
              <w:top w:val="nil"/>
              <w:left w:val="single" w:sz="8" w:space="0" w:color="auto"/>
              <w:bottom w:val="nil"/>
              <w:right w:val="single" w:sz="8" w:space="0" w:color="auto"/>
            </w:tcBorders>
            <w:shd w:val="clear" w:color="auto" w:fill="auto"/>
            <w:noWrap/>
            <w:vAlign w:val="bottom"/>
          </w:tcPr>
          <w:p w:rsidR="000F603B" w:rsidRDefault="000F603B">
            <w:r>
              <w:t>2-propanol</w:t>
            </w:r>
          </w:p>
        </w:tc>
        <w:tc>
          <w:tcPr>
            <w:tcW w:w="985" w:type="dxa"/>
            <w:tcBorders>
              <w:top w:val="nil"/>
              <w:left w:val="nil"/>
              <w:bottom w:val="nil"/>
              <w:right w:val="single" w:sz="4" w:space="0" w:color="auto"/>
            </w:tcBorders>
            <w:shd w:val="clear" w:color="auto" w:fill="auto"/>
            <w:noWrap/>
            <w:vAlign w:val="bottom"/>
          </w:tcPr>
          <w:p w:rsidR="000F603B" w:rsidRDefault="000F603B">
            <w:pPr>
              <w:jc w:val="center"/>
            </w:pPr>
            <w:r>
              <w:t>0,787</w:t>
            </w:r>
          </w:p>
        </w:tc>
        <w:tc>
          <w:tcPr>
            <w:tcW w:w="1824" w:type="dxa"/>
            <w:tcBorders>
              <w:top w:val="nil"/>
              <w:left w:val="nil"/>
              <w:bottom w:val="nil"/>
              <w:right w:val="single" w:sz="4" w:space="0" w:color="auto"/>
            </w:tcBorders>
            <w:shd w:val="clear" w:color="auto" w:fill="auto"/>
            <w:noWrap/>
            <w:vAlign w:val="bottom"/>
          </w:tcPr>
          <w:p w:rsidR="000F603B" w:rsidRDefault="000F603B">
            <w:pPr>
              <w:jc w:val="center"/>
            </w:pPr>
            <w:r>
              <w:t>41,2</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-984</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-2005,8</w:t>
            </w:r>
          </w:p>
        </w:tc>
        <w:tc>
          <w:tcPr>
            <w:tcW w:w="1418" w:type="dxa"/>
            <w:tcBorders>
              <w:top w:val="nil"/>
              <w:left w:val="nil"/>
              <w:bottom w:val="nil"/>
              <w:right w:val="single" w:sz="8" w:space="0" w:color="auto"/>
            </w:tcBorders>
            <w:shd w:val="clear" w:color="auto" w:fill="auto"/>
            <w:noWrap/>
            <w:vAlign w:val="center"/>
          </w:tcPr>
          <w:p w:rsidR="000F603B" w:rsidRDefault="000F603B">
            <w:pPr>
              <w:jc w:val="center"/>
            </w:pPr>
            <w:r>
              <w:t>0,49</w:t>
            </w:r>
          </w:p>
        </w:tc>
      </w:tr>
      <w:tr w:rsidR="000F603B">
        <w:trPr>
          <w:trHeight w:val="234"/>
        </w:trPr>
        <w:tc>
          <w:tcPr>
            <w:tcW w:w="1325" w:type="dxa"/>
            <w:tcBorders>
              <w:top w:val="nil"/>
              <w:left w:val="single" w:sz="8" w:space="0" w:color="auto"/>
              <w:bottom w:val="nil"/>
              <w:right w:val="single" w:sz="8" w:space="0" w:color="auto"/>
            </w:tcBorders>
            <w:shd w:val="clear" w:color="auto" w:fill="auto"/>
            <w:noWrap/>
            <w:vAlign w:val="bottom"/>
          </w:tcPr>
          <w:p w:rsidR="000F603B" w:rsidRDefault="000F603B">
            <w:r>
              <w:t>1-butanol</w:t>
            </w:r>
          </w:p>
        </w:tc>
        <w:tc>
          <w:tcPr>
            <w:tcW w:w="985" w:type="dxa"/>
            <w:tcBorders>
              <w:top w:val="nil"/>
              <w:left w:val="nil"/>
              <w:bottom w:val="nil"/>
              <w:right w:val="single" w:sz="4" w:space="0" w:color="auto"/>
            </w:tcBorders>
            <w:shd w:val="clear" w:color="auto" w:fill="auto"/>
            <w:noWrap/>
            <w:vAlign w:val="bottom"/>
          </w:tcPr>
          <w:p w:rsidR="000F603B" w:rsidRDefault="000F603B">
            <w:pPr>
              <w:jc w:val="center"/>
            </w:pPr>
            <w:r>
              <w:t>0,81</w:t>
            </w:r>
          </w:p>
        </w:tc>
        <w:tc>
          <w:tcPr>
            <w:tcW w:w="1824" w:type="dxa"/>
            <w:tcBorders>
              <w:top w:val="nil"/>
              <w:left w:val="nil"/>
              <w:bottom w:val="nil"/>
              <w:right w:val="single" w:sz="4" w:space="0" w:color="auto"/>
            </w:tcBorders>
            <w:shd w:val="clear" w:color="auto" w:fill="auto"/>
            <w:noWrap/>
            <w:vAlign w:val="bottom"/>
          </w:tcPr>
          <w:p w:rsidR="000F603B" w:rsidRDefault="000F603B">
            <w:pPr>
              <w:jc w:val="center"/>
            </w:pPr>
            <w:r>
              <w:t>38,8</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-1110</w:t>
            </w:r>
          </w:p>
        </w:tc>
        <w:tc>
          <w:tcPr>
            <w:tcW w:w="1902" w:type="dxa"/>
            <w:tcBorders>
              <w:top w:val="nil"/>
              <w:left w:val="nil"/>
              <w:bottom w:val="nil"/>
              <w:right w:val="single" w:sz="4" w:space="0" w:color="auto"/>
            </w:tcBorders>
            <w:shd w:val="clear" w:color="auto" w:fill="auto"/>
            <w:noWrap/>
            <w:vAlign w:val="bottom"/>
          </w:tcPr>
          <w:p w:rsidR="000F603B" w:rsidRDefault="000F603B">
            <w:pPr>
              <w:jc w:val="center"/>
            </w:pPr>
            <w:r>
              <w:t>-2675,6</w:t>
            </w:r>
          </w:p>
        </w:tc>
        <w:tc>
          <w:tcPr>
            <w:tcW w:w="1418" w:type="dxa"/>
            <w:tcBorders>
              <w:top w:val="nil"/>
              <w:left w:val="nil"/>
              <w:bottom w:val="nil"/>
              <w:right w:val="single" w:sz="8" w:space="0" w:color="auto"/>
            </w:tcBorders>
            <w:shd w:val="clear" w:color="auto" w:fill="auto"/>
            <w:noWrap/>
            <w:vAlign w:val="center"/>
          </w:tcPr>
          <w:p w:rsidR="000F603B" w:rsidRDefault="000F603B">
            <w:pPr>
              <w:jc w:val="center"/>
            </w:pPr>
            <w:r>
              <w:t>0,41</w:t>
            </w:r>
          </w:p>
        </w:tc>
      </w:tr>
      <w:tr w:rsidR="000F603B">
        <w:trPr>
          <w:trHeight w:val="246"/>
        </w:trPr>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tcPr>
          <w:p w:rsidR="000F603B" w:rsidRDefault="000F603B">
            <w:r>
              <w:t>jordnöt</w:t>
            </w:r>
          </w:p>
        </w:tc>
        <w:tc>
          <w:tcPr>
            <w:tcW w:w="985" w:type="dxa"/>
            <w:tcBorders>
              <w:top w:val="single" w:sz="4" w:space="0" w:color="auto"/>
              <w:left w:val="nil"/>
              <w:bottom w:val="single" w:sz="8" w:space="0" w:color="auto"/>
              <w:right w:val="single" w:sz="4" w:space="0" w:color="auto"/>
            </w:tcBorders>
            <w:shd w:val="clear" w:color="auto" w:fill="auto"/>
            <w:noWrap/>
            <w:vAlign w:val="bottom"/>
          </w:tcPr>
          <w:p w:rsidR="000F603B" w:rsidRDefault="000F603B">
            <w:pPr>
              <w:jc w:val="center"/>
            </w:pPr>
            <w:r>
              <w:t>0,2</w:t>
            </w:r>
          </w:p>
        </w:tc>
        <w:tc>
          <w:tcPr>
            <w:tcW w:w="1824" w:type="dxa"/>
            <w:tcBorders>
              <w:top w:val="single" w:sz="4" w:space="0" w:color="auto"/>
              <w:left w:val="nil"/>
              <w:bottom w:val="single" w:sz="8" w:space="0" w:color="auto"/>
              <w:right w:val="single" w:sz="4" w:space="0" w:color="auto"/>
            </w:tcBorders>
            <w:shd w:val="clear" w:color="auto" w:fill="auto"/>
            <w:noWrap/>
            <w:vAlign w:val="bottom"/>
          </w:tcPr>
          <w:p w:rsidR="000F603B" w:rsidRDefault="000F603B">
            <w:pPr>
              <w:jc w:val="center"/>
            </w:pPr>
            <w:r>
              <w:t>9,1</w:t>
            </w:r>
          </w:p>
        </w:tc>
        <w:tc>
          <w:tcPr>
            <w:tcW w:w="1902" w:type="dxa"/>
            <w:tcBorders>
              <w:top w:val="single" w:sz="4" w:space="0" w:color="auto"/>
              <w:left w:val="nil"/>
              <w:bottom w:val="single" w:sz="8" w:space="0" w:color="auto"/>
              <w:right w:val="single" w:sz="4" w:space="0" w:color="auto"/>
            </w:tcBorders>
            <w:shd w:val="clear" w:color="auto" w:fill="auto"/>
            <w:vAlign w:val="bottom"/>
          </w:tcPr>
          <w:p w:rsidR="000F603B" w:rsidRDefault="000F603B">
            <w:pPr>
              <w:jc w:val="center"/>
            </w:pPr>
            <w:r>
              <w:t>1423 kJ/100g</w:t>
            </w:r>
          </w:p>
        </w:tc>
        <w:tc>
          <w:tcPr>
            <w:tcW w:w="1902" w:type="dxa"/>
            <w:tcBorders>
              <w:top w:val="single" w:sz="4" w:space="0" w:color="auto"/>
              <w:left w:val="nil"/>
              <w:bottom w:val="single" w:sz="8" w:space="0" w:color="auto"/>
              <w:right w:val="single" w:sz="4" w:space="0" w:color="auto"/>
            </w:tcBorders>
            <w:shd w:val="clear" w:color="auto" w:fill="auto"/>
            <w:noWrap/>
            <w:vAlign w:val="bottom"/>
          </w:tcPr>
          <w:p w:rsidR="000F603B" w:rsidRDefault="000F603B">
            <w:r>
              <w:t>2387,6 kJ/100g</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0F603B" w:rsidRDefault="000F603B">
            <w:pPr>
              <w:jc w:val="center"/>
            </w:pPr>
            <w:r>
              <w:t>0,6</w:t>
            </w:r>
          </w:p>
        </w:tc>
      </w:tr>
    </w:tbl>
    <w:p w:rsidR="000F603B" w:rsidRDefault="000F603B"/>
    <w:p w:rsidR="00177884" w:rsidRDefault="00210B25" w:rsidP="00210B25">
      <w:r>
        <w:t xml:space="preserve">     </w:t>
      </w:r>
      <w:r w:rsidR="00FA3CDD">
        <w:t xml:space="preserve">  </w:t>
      </w:r>
      <w:r w:rsidR="006D2733">
        <w:t xml:space="preserve">    </w:t>
      </w:r>
      <w:r w:rsidR="00FA3CDD">
        <w:t xml:space="preserve">     </w:t>
      </w:r>
      <w:r w:rsidR="00755770" w:rsidRPr="0022047D">
        <w:rPr>
          <w:noProof/>
        </w:rPr>
        <w:drawing>
          <wp:inline distT="0" distB="0" distL="0" distR="0">
            <wp:extent cx="4450080" cy="30327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080" cy="3032760"/>
                    </a:xfrm>
                    <a:prstGeom prst="rect">
                      <a:avLst/>
                    </a:prstGeom>
                    <a:noFill/>
                    <a:ln>
                      <a:noFill/>
                    </a:ln>
                  </pic:spPr>
                </pic:pic>
              </a:graphicData>
            </a:graphic>
          </wp:inline>
        </w:drawing>
      </w:r>
    </w:p>
    <w:p w:rsidR="006D2733" w:rsidRDefault="006D2733"/>
    <w:p w:rsidR="00D60459" w:rsidRDefault="00F71379">
      <w:r>
        <w:rPr>
          <w:b/>
        </w:rPr>
        <w:t>Till läraren</w:t>
      </w:r>
      <w:r w:rsidR="0016529C">
        <w:rPr>
          <w:b/>
        </w:rPr>
        <w:t>:</w:t>
      </w:r>
      <w:r w:rsidR="001C789C">
        <w:t xml:space="preserve"> </w:t>
      </w:r>
      <w:r w:rsidR="00FA3CDD">
        <w:t>Beroende på vilka elever som ska utföra experimentet</w:t>
      </w:r>
      <w:r w:rsidR="009C70B0">
        <w:t xml:space="preserve"> och vilket syftet är,</w:t>
      </w:r>
      <w:r w:rsidR="00FA3CDD">
        <w:t xml:space="preserve"> kan man i förväg bestämma v</w:t>
      </w:r>
      <w:r w:rsidR="009C70B0">
        <w:t xml:space="preserve">ilken noggrannhet man vill ha på resultatet. Vill man jämföra energiinnehållet hos de olika ämnena, utan att utföra några beräkningar, behöver man inte lägga så mycket tid på att isolera burken. Det går alldeles utmärkt att klippa upp en aluminiumburk, som tidigare använts till någon dryck. Metanol och etanol sotar inte </w:t>
      </w:r>
      <w:r w:rsidR="00262DA1">
        <w:t>och ger bra jämförbara värden. Det kan vara lite svårt att se när metanol brinner med en blå låga, men det blir lättare om man låter ämnet vara på degellocket och inte i degeln.</w:t>
      </w:r>
      <w:r w:rsidR="00FA3CDD">
        <w:t xml:space="preserve"> </w:t>
      </w:r>
      <w:r w:rsidR="008A346D">
        <w:t>Vi har även testat att bränna bensin, men då bör man hålla till i dragskåp. Bensin sotar väldigt och hanterbar volym är 0,5 cm</w:t>
      </w:r>
      <w:r w:rsidR="008A346D" w:rsidRPr="00951AA9">
        <w:rPr>
          <w:vertAlign w:val="superscript"/>
        </w:rPr>
        <w:t>3</w:t>
      </w:r>
      <w:r w:rsidR="00951AA9">
        <w:t>. Jordnöten kan vara lite svår att få eld på, använd tändare och den brinner bara en liten stund. Man kan väga nöten före och efter att den har brunnit, bortse från att den blivit svart och att det kanske bildats nya ämnen vid förbränningen. Tänk på att det finns det som är allergiska.</w:t>
      </w:r>
    </w:p>
    <w:p w:rsidR="0031776B" w:rsidRPr="00951AA9" w:rsidRDefault="00813433">
      <w:r>
        <w:rPr>
          <w:b/>
        </w:rPr>
        <w:t>Att d</w:t>
      </w:r>
      <w:r w:rsidR="005A66DD">
        <w:rPr>
          <w:b/>
        </w:rPr>
        <w:t>isku</w:t>
      </w:r>
      <w:r>
        <w:rPr>
          <w:b/>
        </w:rPr>
        <w:t>tera</w:t>
      </w:r>
      <w:r w:rsidR="005A66DD">
        <w:rPr>
          <w:b/>
        </w:rPr>
        <w:t>:</w:t>
      </w:r>
      <w:r w:rsidR="005A66DD">
        <w:t xml:space="preserve"> </w:t>
      </w:r>
      <w:r w:rsidR="006D2733">
        <w:t xml:space="preserve">Varför uppnår man inte litteraturvärdena? Varför sotar </w:t>
      </w:r>
      <w:r w:rsidR="00BC7D41">
        <w:t>visa ämnen mer än andra</w:t>
      </w:r>
      <w:r w:rsidR="0031776B">
        <w:t xml:space="preserve">? Vad är det svarta som bildas på jordnöten? </w:t>
      </w:r>
    </w:p>
    <w:sectPr w:rsidR="0031776B" w:rsidRPr="0095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74"/>
    <w:rsid w:val="0000237E"/>
    <w:rsid w:val="000071E5"/>
    <w:rsid w:val="00030F38"/>
    <w:rsid w:val="000802F8"/>
    <w:rsid w:val="000F603B"/>
    <w:rsid w:val="0016529C"/>
    <w:rsid w:val="00165AFB"/>
    <w:rsid w:val="00170246"/>
    <w:rsid w:val="0017282E"/>
    <w:rsid w:val="0017552B"/>
    <w:rsid w:val="00177884"/>
    <w:rsid w:val="001C4264"/>
    <w:rsid w:val="001C789C"/>
    <w:rsid w:val="00204066"/>
    <w:rsid w:val="00210B25"/>
    <w:rsid w:val="0021459C"/>
    <w:rsid w:val="0022047D"/>
    <w:rsid w:val="00262DA1"/>
    <w:rsid w:val="00281957"/>
    <w:rsid w:val="002D38B7"/>
    <w:rsid w:val="002F71B6"/>
    <w:rsid w:val="0031776B"/>
    <w:rsid w:val="00332FCA"/>
    <w:rsid w:val="00376AB5"/>
    <w:rsid w:val="003820C7"/>
    <w:rsid w:val="003B209A"/>
    <w:rsid w:val="003C0D67"/>
    <w:rsid w:val="003E0C25"/>
    <w:rsid w:val="003F47EC"/>
    <w:rsid w:val="00407546"/>
    <w:rsid w:val="0042397F"/>
    <w:rsid w:val="00447318"/>
    <w:rsid w:val="004B56C2"/>
    <w:rsid w:val="004B6519"/>
    <w:rsid w:val="00517380"/>
    <w:rsid w:val="00544A50"/>
    <w:rsid w:val="00566AAC"/>
    <w:rsid w:val="005702BE"/>
    <w:rsid w:val="005A66DD"/>
    <w:rsid w:val="005B5040"/>
    <w:rsid w:val="00606F4C"/>
    <w:rsid w:val="0063587B"/>
    <w:rsid w:val="0065567F"/>
    <w:rsid w:val="00672931"/>
    <w:rsid w:val="00681BDC"/>
    <w:rsid w:val="006D2733"/>
    <w:rsid w:val="007170ED"/>
    <w:rsid w:val="00755770"/>
    <w:rsid w:val="00765178"/>
    <w:rsid w:val="00782FFF"/>
    <w:rsid w:val="007C3553"/>
    <w:rsid w:val="007D35DD"/>
    <w:rsid w:val="007F61CE"/>
    <w:rsid w:val="00813433"/>
    <w:rsid w:val="00827C34"/>
    <w:rsid w:val="00872CEA"/>
    <w:rsid w:val="00895C0C"/>
    <w:rsid w:val="008A346D"/>
    <w:rsid w:val="008B429D"/>
    <w:rsid w:val="008D47BF"/>
    <w:rsid w:val="00932749"/>
    <w:rsid w:val="00951AA9"/>
    <w:rsid w:val="00951FA6"/>
    <w:rsid w:val="00971905"/>
    <w:rsid w:val="009A7050"/>
    <w:rsid w:val="009B6E28"/>
    <w:rsid w:val="009C080A"/>
    <w:rsid w:val="009C70B0"/>
    <w:rsid w:val="00A02EB5"/>
    <w:rsid w:val="00A20AA4"/>
    <w:rsid w:val="00A40D94"/>
    <w:rsid w:val="00A65961"/>
    <w:rsid w:val="00A80035"/>
    <w:rsid w:val="00AA77BA"/>
    <w:rsid w:val="00AB5E4E"/>
    <w:rsid w:val="00AD5DB3"/>
    <w:rsid w:val="00B34FD4"/>
    <w:rsid w:val="00BB600E"/>
    <w:rsid w:val="00BC6340"/>
    <w:rsid w:val="00BC6C66"/>
    <w:rsid w:val="00BC7D41"/>
    <w:rsid w:val="00BF39F8"/>
    <w:rsid w:val="00C26894"/>
    <w:rsid w:val="00C514E5"/>
    <w:rsid w:val="00C701E5"/>
    <w:rsid w:val="00C8370B"/>
    <w:rsid w:val="00CA2974"/>
    <w:rsid w:val="00CD1A78"/>
    <w:rsid w:val="00CD48A8"/>
    <w:rsid w:val="00D3292F"/>
    <w:rsid w:val="00D44E01"/>
    <w:rsid w:val="00D51426"/>
    <w:rsid w:val="00D60459"/>
    <w:rsid w:val="00D90A31"/>
    <w:rsid w:val="00DB5794"/>
    <w:rsid w:val="00DF4E25"/>
    <w:rsid w:val="00E33EC5"/>
    <w:rsid w:val="00E4336A"/>
    <w:rsid w:val="00E66BB4"/>
    <w:rsid w:val="00E80192"/>
    <w:rsid w:val="00E80FB2"/>
    <w:rsid w:val="00ED3B8B"/>
    <w:rsid w:val="00F1733A"/>
    <w:rsid w:val="00F71379"/>
    <w:rsid w:val="00F743F0"/>
    <w:rsid w:val="00F75F3F"/>
    <w:rsid w:val="00F83075"/>
    <w:rsid w:val="00FA3CDD"/>
    <w:rsid w:val="00FA4B75"/>
    <w:rsid w:val="00FC05BC"/>
    <w:rsid w:val="00FD03F5"/>
    <w:rsid w:val="00FD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6FAF33-C676-4E5E-B7E8-C856368E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38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abell2">
    <w:name w:val="Table Simple 2"/>
    <w:basedOn w:val="Normaltabell"/>
    <w:rsid w:val="00872C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nk">
    <w:name w:val="Hyperlink"/>
    <w:rsid w:val="00D44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2951">
      <w:bodyDiv w:val="1"/>
      <w:marLeft w:val="0"/>
      <w:marRight w:val="0"/>
      <w:marTop w:val="0"/>
      <w:marBottom w:val="0"/>
      <w:divBdr>
        <w:top w:val="none" w:sz="0" w:space="0" w:color="auto"/>
        <w:left w:val="none" w:sz="0" w:space="0" w:color="auto"/>
        <w:bottom w:val="none" w:sz="0" w:space="0" w:color="auto"/>
        <w:right w:val="none" w:sz="0" w:space="0" w:color="auto"/>
      </w:divBdr>
    </w:div>
    <w:div w:id="811366425">
      <w:bodyDiv w:val="1"/>
      <w:marLeft w:val="0"/>
      <w:marRight w:val="0"/>
      <w:marTop w:val="0"/>
      <w:marBottom w:val="0"/>
      <w:divBdr>
        <w:top w:val="none" w:sz="0" w:space="0" w:color="auto"/>
        <w:left w:val="none" w:sz="0" w:space="0" w:color="auto"/>
        <w:bottom w:val="none" w:sz="0" w:space="0" w:color="auto"/>
        <w:right w:val="none" w:sz="0" w:space="0" w:color="auto"/>
      </w:divBdr>
    </w:div>
    <w:div w:id="20267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Kalorimeter</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Kalorimeter</dc:title>
  <dc:subject/>
  <dc:creator>Daina Lezdins</dc:creator>
  <cp:keywords/>
  <dc:description/>
  <cp:lastModifiedBy>Jenny Olander</cp:lastModifiedBy>
  <cp:revision>2</cp:revision>
  <cp:lastPrinted>2006-08-31T11:44:00Z</cp:lastPrinted>
  <dcterms:created xsi:type="dcterms:W3CDTF">2018-04-17T10:40:00Z</dcterms:created>
  <dcterms:modified xsi:type="dcterms:W3CDTF">2018-04-17T10:40:00Z</dcterms:modified>
</cp:coreProperties>
</file>