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1F39" w14:textId="77777777" w:rsidR="009D2660" w:rsidRDefault="00C60379" w:rsidP="009D2660">
      <w:r>
        <w:rPr>
          <w:noProof/>
        </w:rPr>
        <mc:AlternateContent>
          <mc:Choice Requires="wps">
            <w:drawing>
              <wp:anchor distT="45720" distB="45720" distL="114300" distR="114300" simplePos="0" relativeHeight="251659264" behindDoc="0" locked="0" layoutInCell="1" allowOverlap="1" wp14:anchorId="7C618BC1" wp14:editId="453B64B9">
                <wp:simplePos x="0" y="0"/>
                <wp:positionH relativeFrom="column">
                  <wp:posOffset>372552</wp:posOffset>
                </wp:positionH>
                <wp:positionV relativeFrom="paragraph">
                  <wp:posOffset>-248</wp:posOffset>
                </wp:positionV>
                <wp:extent cx="2360930" cy="1404620"/>
                <wp:effectExtent l="0" t="0" r="0"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7002C9" w14:textId="77777777" w:rsidR="00C60379" w:rsidRDefault="00C60379">
                            <w:r w:rsidRPr="007F0743">
                              <w:object w:dxaOrig="1380" w:dyaOrig="2160" w14:anchorId="40DF9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6pt;height:166.85pt" fillcolor="window">
                                  <v:imagedata r:id="rId6" o:title=""/>
                                </v:shape>
                                <o:OLEObject Type="Embed" ProgID="MSDraw" ShapeID="_x0000_i1027" DrawAspect="Content" ObjectID="_1642362050" r:id="rId7">
                                  <o:FieldCodes>\* kopplaform</o:FieldCodes>
                                </o:OLEObject>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618BC1" id="_x0000_t202" coordsize="21600,21600" o:spt="202" path="m,l,21600r21600,l21600,xe">
                <v:stroke joinstyle="miter"/>
                <v:path gradientshapeok="t" o:connecttype="rect"/>
              </v:shapetype>
              <v:shape id="Textruta 2" o:spid="_x0000_s1026" type="#_x0000_t202" style="position:absolute;margin-left:29.35pt;margin-top:0;width:185.9pt;height:110.6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" stroked="f">
                <v:textbox style="mso-fit-shape-to-text:t">
                  <w:txbxContent>
                    <w:p w14:paraId="4C7002C9" w14:textId="77777777" w:rsidR="00C60379" w:rsidRDefault="00C60379">
                      <w:r w:rsidRPr="007F0743">
                        <w:object w:dxaOrig="1380" w:dyaOrig="2160" w14:anchorId="40DF9E42">
                          <v:shape id="_x0000_i1027" type="#_x0000_t75" style="width:106.6pt;height:166.85pt" fillcolor="window">
                            <v:imagedata r:id="rId6" o:title=""/>
                          </v:shape>
                          <o:OLEObject Type="Embed" ProgID="MSDraw" ShapeID="_x0000_i1027" DrawAspect="Content" ObjectID="_1642362050" r:id="rId8">
                            <o:FieldCodes>\* kopplaform</o:FieldCodes>
                          </o:OLEObject>
                        </w:object>
                      </w:r>
                    </w:p>
                  </w:txbxContent>
                </v:textbox>
                <w10:wrap type="square"/>
              </v:shape>
            </w:pict>
          </mc:Fallback>
        </mc:AlternateContent>
      </w:r>
    </w:p>
    <w:p w14:paraId="22568741" w14:textId="77777777" w:rsidR="00C60379" w:rsidRDefault="00741ED8" w:rsidP="00741ED8">
      <w:bookmarkStart w:id="0" w:name="_Toc6923838"/>
      <w:r>
        <w:tab/>
      </w:r>
    </w:p>
    <w:p w14:paraId="6C8F8F45" w14:textId="77777777" w:rsidR="00C60379" w:rsidRDefault="00C60379" w:rsidP="00741ED8">
      <w:pPr>
        <w:rPr>
          <w:rStyle w:val="Rubrik2Char"/>
          <w:rFonts w:ascii="Geneva" w:eastAsiaTheme="majorEastAsia" w:hAnsi="Geneva"/>
          <w:sz w:val="36"/>
          <w:szCs w:val="36"/>
        </w:rPr>
      </w:pPr>
    </w:p>
    <w:p w14:paraId="5A782EEB" w14:textId="77777777" w:rsidR="00C60379" w:rsidRDefault="00C60379" w:rsidP="00741ED8">
      <w:pPr>
        <w:rPr>
          <w:rStyle w:val="Rubrik2Char"/>
          <w:rFonts w:ascii="Geneva" w:eastAsiaTheme="majorEastAsia" w:hAnsi="Geneva"/>
          <w:sz w:val="36"/>
          <w:szCs w:val="36"/>
        </w:rPr>
      </w:pPr>
    </w:p>
    <w:p w14:paraId="4FACDA17" w14:textId="77777777" w:rsidR="00C60379" w:rsidRDefault="00C60379" w:rsidP="00C60379">
      <w:pPr>
        <w:jc w:val="right"/>
        <w:rPr>
          <w:rStyle w:val="Rubrik2Char"/>
          <w:rFonts w:ascii="Geneva" w:eastAsiaTheme="majorEastAsia" w:hAnsi="Geneva"/>
          <w:b w:val="0"/>
          <w:i w:val="0"/>
          <w:sz w:val="36"/>
          <w:szCs w:val="36"/>
        </w:rPr>
      </w:pPr>
    </w:p>
    <w:p w14:paraId="353793B3" w14:textId="77777777" w:rsidR="00C60379" w:rsidRDefault="00C60379" w:rsidP="00C60379">
      <w:pPr>
        <w:jc w:val="right"/>
        <w:rPr>
          <w:rStyle w:val="Rubrik2Char"/>
          <w:rFonts w:ascii="Geneva" w:eastAsiaTheme="majorEastAsia" w:hAnsi="Geneva"/>
          <w:b w:val="0"/>
          <w:i w:val="0"/>
          <w:sz w:val="36"/>
          <w:szCs w:val="36"/>
        </w:rPr>
      </w:pPr>
    </w:p>
    <w:p w14:paraId="302A10B8" w14:textId="77777777" w:rsidR="009D2660" w:rsidRPr="00741ED8" w:rsidRDefault="009D2660" w:rsidP="00C60379">
      <w:pPr>
        <w:jc w:val="right"/>
        <w:rPr>
          <w:rStyle w:val="Rubrik1Char"/>
          <w:rFonts w:ascii="Times New Roman" w:eastAsia="Times New Roman" w:hAnsi="Times New Roman" w:cs="Times New Roman"/>
          <w:b w:val="0"/>
          <w:bCs w:val="0"/>
          <w:color w:val="auto"/>
          <w:sz w:val="24"/>
          <w:szCs w:val="24"/>
        </w:rPr>
      </w:pPr>
      <w:r w:rsidRPr="00741ED8">
        <w:rPr>
          <w:rStyle w:val="Rubrik2Char"/>
          <w:rFonts w:ascii="Geneva" w:eastAsiaTheme="majorEastAsia" w:hAnsi="Geneva"/>
          <w:b w:val="0"/>
          <w:i w:val="0"/>
          <w:sz w:val="36"/>
          <w:szCs w:val="36"/>
        </w:rPr>
        <w:t>Demonstration av hur matolja brinner</w:t>
      </w:r>
      <w:bookmarkEnd w:id="0"/>
    </w:p>
    <w:tbl>
      <w:tblPr>
        <w:tblW w:w="9527" w:type="dxa"/>
        <w:tblCellMar>
          <w:left w:w="10" w:type="dxa"/>
          <w:right w:w="10" w:type="dxa"/>
        </w:tblCellMar>
        <w:tblLook w:val="04A0" w:firstRow="1" w:lastRow="0" w:firstColumn="1" w:lastColumn="0" w:noHBand="0" w:noVBand="1"/>
      </w:tblPr>
      <w:tblGrid>
        <w:gridCol w:w="2455"/>
        <w:gridCol w:w="7072"/>
      </w:tblGrid>
      <w:tr w:rsidR="009D2660" w:rsidRPr="007F0743" w14:paraId="63F9E66B" w14:textId="77777777" w:rsidTr="007A44A0">
        <w:tc>
          <w:tcPr>
            <w:tcW w:w="2455" w:type="dxa"/>
            <w:shd w:val="clear" w:color="auto" w:fill="auto"/>
            <w:tcMar>
              <w:top w:w="0" w:type="dxa"/>
              <w:left w:w="108" w:type="dxa"/>
              <w:bottom w:w="0" w:type="dxa"/>
              <w:right w:w="108" w:type="dxa"/>
            </w:tcMar>
          </w:tcPr>
          <w:p w14:paraId="58D042C0" w14:textId="77777777" w:rsidR="009D2660" w:rsidRPr="007F0743" w:rsidRDefault="009D2660" w:rsidP="007A44A0">
            <w:pPr>
              <w:spacing w:before="120"/>
              <w:rPr>
                <w:rFonts w:ascii="Geneva" w:hAnsi="Geneva"/>
                <w:sz w:val="22"/>
                <w:szCs w:val="22"/>
              </w:rPr>
            </w:pPr>
            <w:r w:rsidRPr="007F0743">
              <w:rPr>
                <w:rFonts w:ascii="Geneva" w:hAnsi="Geneva"/>
                <w:sz w:val="22"/>
                <w:szCs w:val="22"/>
              </w:rPr>
              <w:t xml:space="preserve">Inledning </w:t>
            </w:r>
          </w:p>
        </w:tc>
        <w:tc>
          <w:tcPr>
            <w:tcW w:w="7072" w:type="dxa"/>
            <w:shd w:val="clear" w:color="auto" w:fill="auto"/>
            <w:tcMar>
              <w:top w:w="0" w:type="dxa"/>
              <w:left w:w="108" w:type="dxa"/>
              <w:bottom w:w="0" w:type="dxa"/>
              <w:right w:w="108" w:type="dxa"/>
            </w:tcMar>
          </w:tcPr>
          <w:p w14:paraId="489DACC5" w14:textId="77777777" w:rsidR="009D2660" w:rsidRPr="007F0743" w:rsidRDefault="009D2660" w:rsidP="007A44A0">
            <w:pPr>
              <w:spacing w:before="120" w:after="120"/>
              <w:rPr>
                <w:rFonts w:ascii="Calibri" w:hAnsi="Calibri"/>
                <w:sz w:val="22"/>
                <w:szCs w:val="22"/>
              </w:rPr>
            </w:pPr>
            <w:r w:rsidRPr="007F0743">
              <w:rPr>
                <w:rFonts w:ascii="Calibri" w:hAnsi="Calibri"/>
                <w:sz w:val="22"/>
                <w:szCs w:val="22"/>
              </w:rPr>
              <w:t xml:space="preserve">Det här är en häftig demonstration som visar varför en </w:t>
            </w:r>
            <w:proofErr w:type="spellStart"/>
            <w:r w:rsidRPr="007F0743">
              <w:rPr>
                <w:rFonts w:ascii="Calibri" w:hAnsi="Calibri"/>
                <w:sz w:val="22"/>
                <w:szCs w:val="22"/>
              </w:rPr>
              <w:t>fritösbrand</w:t>
            </w:r>
            <w:proofErr w:type="spellEnd"/>
            <w:r w:rsidRPr="007F0743">
              <w:rPr>
                <w:rFonts w:ascii="Calibri" w:hAnsi="Calibri"/>
                <w:sz w:val="22"/>
                <w:szCs w:val="22"/>
              </w:rPr>
              <w:t xml:space="preserve"> inte ska släckas med vatten.</w:t>
            </w:r>
          </w:p>
        </w:tc>
      </w:tr>
      <w:tr w:rsidR="009D2660" w:rsidRPr="007F0743" w14:paraId="75F2F1D8" w14:textId="77777777" w:rsidTr="007A44A0">
        <w:tc>
          <w:tcPr>
            <w:tcW w:w="2455" w:type="dxa"/>
            <w:shd w:val="clear" w:color="auto" w:fill="auto"/>
            <w:tcMar>
              <w:top w:w="0" w:type="dxa"/>
              <w:left w:w="108" w:type="dxa"/>
              <w:bottom w:w="0" w:type="dxa"/>
              <w:right w:w="108" w:type="dxa"/>
            </w:tcMar>
          </w:tcPr>
          <w:p w14:paraId="05098372" w14:textId="77777777" w:rsidR="009D2660" w:rsidRPr="007F0743" w:rsidRDefault="009D2660" w:rsidP="007A44A0">
            <w:pPr>
              <w:spacing w:before="120"/>
              <w:rPr>
                <w:rFonts w:ascii="Geneva" w:hAnsi="Geneva"/>
                <w:sz w:val="22"/>
                <w:szCs w:val="22"/>
              </w:rPr>
            </w:pPr>
            <w:r w:rsidRPr="007F0743">
              <w:rPr>
                <w:rFonts w:ascii="Geneva" w:hAnsi="Geneva"/>
                <w:sz w:val="22"/>
                <w:szCs w:val="22"/>
              </w:rPr>
              <w:t>Material</w:t>
            </w:r>
          </w:p>
          <w:p w14:paraId="59046775" w14:textId="77777777" w:rsidR="009D2660" w:rsidRPr="007F0743" w:rsidRDefault="009D2660" w:rsidP="007A44A0">
            <w:pPr>
              <w:spacing w:before="120"/>
              <w:rPr>
                <w:rFonts w:ascii="Geneva" w:hAnsi="Geneva"/>
                <w:sz w:val="22"/>
                <w:szCs w:val="22"/>
              </w:rPr>
            </w:pPr>
          </w:p>
        </w:tc>
        <w:tc>
          <w:tcPr>
            <w:tcW w:w="7072" w:type="dxa"/>
            <w:shd w:val="clear" w:color="auto" w:fill="auto"/>
            <w:tcMar>
              <w:top w:w="0" w:type="dxa"/>
              <w:left w:w="108" w:type="dxa"/>
              <w:bottom w:w="0" w:type="dxa"/>
              <w:right w:w="108" w:type="dxa"/>
            </w:tcMar>
          </w:tcPr>
          <w:p w14:paraId="1901D271" w14:textId="77777777" w:rsidR="009D2660" w:rsidRPr="007F0743" w:rsidRDefault="009D2660" w:rsidP="007A44A0">
            <w:pPr>
              <w:spacing w:before="120" w:after="120"/>
            </w:pPr>
            <w:r w:rsidRPr="007F0743">
              <w:rPr>
                <w:rFonts w:ascii="Calibri" w:hAnsi="Calibri"/>
                <w:sz w:val="22"/>
                <w:szCs w:val="22"/>
              </w:rPr>
              <w:t xml:space="preserve">Olja, degel, degellock, lång pipett, brännare, stativ, klämmare och muff. </w:t>
            </w:r>
            <w:r w:rsidRPr="007F0743">
              <w:rPr>
                <w:rStyle w:val="tx"/>
                <w:rFonts w:ascii="Calibri" w:hAnsi="Calibri" w:cs="Calibri"/>
                <w:spacing w:val="1"/>
                <w:sz w:val="22"/>
                <w:szCs w:val="22"/>
              </w:rPr>
              <w:t>Klämmaren får inte vara tillverkad av någon lättmetallegering utan helst av stål eller järn.</w:t>
            </w:r>
            <w:r w:rsidRPr="007F0743">
              <w:rPr>
                <w:rFonts w:ascii="Calibri" w:hAnsi="Calibri" w:cs="Calibri"/>
                <w:sz w:val="22"/>
                <w:szCs w:val="22"/>
              </w:rPr>
              <w:t xml:space="preserve"> </w:t>
            </w:r>
          </w:p>
        </w:tc>
      </w:tr>
      <w:tr w:rsidR="009D2660" w:rsidRPr="007F0743" w14:paraId="1E277082" w14:textId="77777777" w:rsidTr="007A44A0">
        <w:tc>
          <w:tcPr>
            <w:tcW w:w="2455" w:type="dxa"/>
            <w:shd w:val="clear" w:color="auto" w:fill="auto"/>
            <w:tcMar>
              <w:top w:w="0" w:type="dxa"/>
              <w:left w:w="108" w:type="dxa"/>
              <w:bottom w:w="0" w:type="dxa"/>
              <w:right w:w="108" w:type="dxa"/>
            </w:tcMar>
          </w:tcPr>
          <w:p w14:paraId="0434DF89" w14:textId="77777777" w:rsidR="009D2660" w:rsidRPr="007F0743" w:rsidRDefault="009D2660" w:rsidP="007A44A0">
            <w:pPr>
              <w:spacing w:before="120"/>
              <w:rPr>
                <w:rFonts w:ascii="Geneva" w:hAnsi="Geneva"/>
                <w:sz w:val="22"/>
                <w:szCs w:val="22"/>
              </w:rPr>
            </w:pPr>
            <w:r w:rsidRPr="007F0743">
              <w:rPr>
                <w:rFonts w:ascii="Geneva" w:hAnsi="Geneva"/>
                <w:sz w:val="22"/>
                <w:szCs w:val="22"/>
              </w:rPr>
              <w:t>Riskbedömning</w:t>
            </w:r>
          </w:p>
        </w:tc>
        <w:tc>
          <w:tcPr>
            <w:tcW w:w="7072" w:type="dxa"/>
            <w:shd w:val="clear" w:color="auto" w:fill="auto"/>
            <w:tcMar>
              <w:top w:w="0" w:type="dxa"/>
              <w:left w:w="108" w:type="dxa"/>
              <w:bottom w:w="0" w:type="dxa"/>
              <w:right w:w="108" w:type="dxa"/>
            </w:tcMar>
          </w:tcPr>
          <w:p w14:paraId="7B704C2E" w14:textId="77777777" w:rsidR="009D2660" w:rsidRPr="007F0743" w:rsidRDefault="009D2660" w:rsidP="007A44A0">
            <w:pPr>
              <w:spacing w:before="120" w:after="120"/>
            </w:pPr>
            <w:bookmarkStart w:id="1" w:name="_GoBack"/>
            <w:r w:rsidRPr="007F0743">
              <w:rPr>
                <w:rFonts w:ascii="Calibri" w:hAnsi="Calibri"/>
                <w:sz w:val="22"/>
                <w:szCs w:val="22"/>
              </w:rPr>
              <w:t>Brinnande och finfördelad olja brinner explosionsartat</w:t>
            </w:r>
            <w:r w:rsidR="00C60379">
              <w:rPr>
                <w:rFonts w:ascii="Calibri" w:hAnsi="Calibri"/>
                <w:sz w:val="22"/>
                <w:szCs w:val="22"/>
              </w:rPr>
              <w:t>, se till att alla elever är på behörigt avstånd</w:t>
            </w:r>
            <w:r w:rsidRPr="007F0743">
              <w:rPr>
                <w:rFonts w:ascii="Calibri" w:hAnsi="Calibri"/>
                <w:sz w:val="22"/>
                <w:szCs w:val="22"/>
              </w:rPr>
              <w:t>.</w:t>
            </w:r>
            <w:r w:rsidR="00C60379">
              <w:rPr>
                <w:rFonts w:ascii="Calibri" w:hAnsi="Calibri"/>
                <w:sz w:val="22"/>
                <w:szCs w:val="22"/>
              </w:rPr>
              <w:t xml:space="preserve"> Utför i dragskåp eller utomhus</w:t>
            </w:r>
            <w:r w:rsidRPr="007F0743">
              <w:rPr>
                <w:rFonts w:ascii="Calibri" w:hAnsi="Calibri"/>
                <w:i/>
                <w:sz w:val="22"/>
                <w:szCs w:val="22"/>
              </w:rPr>
              <w:t xml:space="preserve"> En fullständig riskbedömning ges av undervisande läraren.</w:t>
            </w:r>
            <w:bookmarkEnd w:id="1"/>
          </w:p>
        </w:tc>
      </w:tr>
      <w:tr w:rsidR="009D2660" w:rsidRPr="007F0743" w14:paraId="5D3E5D58" w14:textId="77777777" w:rsidTr="007A44A0">
        <w:tc>
          <w:tcPr>
            <w:tcW w:w="2455" w:type="dxa"/>
            <w:shd w:val="clear" w:color="auto" w:fill="auto"/>
            <w:tcMar>
              <w:top w:w="0" w:type="dxa"/>
              <w:left w:w="108" w:type="dxa"/>
              <w:bottom w:w="0" w:type="dxa"/>
              <w:right w:w="108" w:type="dxa"/>
            </w:tcMar>
          </w:tcPr>
          <w:p w14:paraId="6A13DF00" w14:textId="77777777" w:rsidR="009D2660" w:rsidRPr="007F0743" w:rsidRDefault="009D2660" w:rsidP="007A44A0">
            <w:pPr>
              <w:spacing w:before="120"/>
              <w:rPr>
                <w:rFonts w:ascii="Geneva" w:hAnsi="Geneva"/>
                <w:sz w:val="22"/>
                <w:szCs w:val="22"/>
              </w:rPr>
            </w:pPr>
            <w:r w:rsidRPr="007F0743">
              <w:rPr>
                <w:rFonts w:ascii="Geneva" w:hAnsi="Geneva"/>
                <w:sz w:val="22"/>
                <w:szCs w:val="22"/>
              </w:rPr>
              <w:t>Utförande</w:t>
            </w:r>
          </w:p>
        </w:tc>
        <w:tc>
          <w:tcPr>
            <w:tcW w:w="7072" w:type="dxa"/>
            <w:shd w:val="clear" w:color="auto" w:fill="auto"/>
            <w:tcMar>
              <w:top w:w="0" w:type="dxa"/>
              <w:left w:w="108" w:type="dxa"/>
              <w:bottom w:w="0" w:type="dxa"/>
              <w:right w:w="108" w:type="dxa"/>
            </w:tcMar>
          </w:tcPr>
          <w:p w14:paraId="175EF08C" w14:textId="77777777" w:rsidR="009D2660" w:rsidRPr="007F0743" w:rsidRDefault="009D2660" w:rsidP="009D2660">
            <w:pPr>
              <w:numPr>
                <w:ilvl w:val="0"/>
                <w:numId w:val="1"/>
              </w:numPr>
              <w:suppressAutoHyphens/>
              <w:autoSpaceDN w:val="0"/>
              <w:spacing w:before="120" w:after="120"/>
              <w:ind w:left="314" w:hanging="314"/>
              <w:textAlignment w:val="baseline"/>
            </w:pPr>
            <w:r w:rsidRPr="007F0743">
              <w:rPr>
                <w:rFonts w:ascii="Calibri" w:hAnsi="Calibri"/>
                <w:sz w:val="22"/>
                <w:szCs w:val="22"/>
              </w:rPr>
              <w:t>Fyll en degel eller ett degellock med 2 cm</w:t>
            </w:r>
            <w:r w:rsidRPr="007F0743">
              <w:rPr>
                <w:rFonts w:ascii="Calibri" w:hAnsi="Calibri"/>
                <w:sz w:val="22"/>
                <w:szCs w:val="22"/>
                <w:vertAlign w:val="superscript"/>
              </w:rPr>
              <w:t>3</w:t>
            </w:r>
            <w:r w:rsidRPr="007F0743">
              <w:rPr>
                <w:rFonts w:ascii="Calibri" w:hAnsi="Calibri"/>
                <w:sz w:val="22"/>
                <w:szCs w:val="22"/>
              </w:rPr>
              <w:t xml:space="preserve"> matolja. (Man kan ta lite mer om man är utomhus.)</w:t>
            </w:r>
          </w:p>
          <w:p w14:paraId="303EF3C4" w14:textId="77777777" w:rsidR="009D2660" w:rsidRPr="007F0743" w:rsidRDefault="009D2660" w:rsidP="009D2660">
            <w:pPr>
              <w:numPr>
                <w:ilvl w:val="0"/>
                <w:numId w:val="1"/>
              </w:numPr>
              <w:suppressAutoHyphens/>
              <w:autoSpaceDN w:val="0"/>
              <w:spacing w:before="120" w:after="120"/>
              <w:ind w:left="314" w:hanging="314"/>
              <w:textAlignment w:val="baseline"/>
              <w:rPr>
                <w:rFonts w:ascii="Calibri" w:hAnsi="Calibri"/>
                <w:sz w:val="22"/>
                <w:szCs w:val="22"/>
              </w:rPr>
            </w:pPr>
            <w:r w:rsidRPr="007F0743">
              <w:rPr>
                <w:rFonts w:ascii="Calibri" w:hAnsi="Calibri"/>
                <w:sz w:val="22"/>
                <w:szCs w:val="22"/>
              </w:rPr>
              <w:t>Värm över gaslåga tills oljan självantänder. Det tar ca 5 min, i början ryker det bara.</w:t>
            </w:r>
          </w:p>
          <w:p w14:paraId="7A1A75EC" w14:textId="77777777" w:rsidR="009D2660" w:rsidRPr="007F0743" w:rsidRDefault="009D2660" w:rsidP="009D2660">
            <w:pPr>
              <w:numPr>
                <w:ilvl w:val="0"/>
                <w:numId w:val="1"/>
              </w:numPr>
              <w:suppressAutoHyphens/>
              <w:autoSpaceDN w:val="0"/>
              <w:spacing w:before="120" w:after="120"/>
              <w:ind w:left="314" w:hanging="314"/>
              <w:textAlignment w:val="baseline"/>
              <w:rPr>
                <w:rFonts w:ascii="Calibri" w:hAnsi="Calibri"/>
                <w:sz w:val="22"/>
                <w:szCs w:val="22"/>
              </w:rPr>
            </w:pPr>
            <w:r w:rsidRPr="007F0743">
              <w:rPr>
                <w:rFonts w:ascii="Calibri" w:hAnsi="Calibri"/>
                <w:sz w:val="22"/>
                <w:szCs w:val="22"/>
              </w:rPr>
              <w:t>Stäng av brännaren.</w:t>
            </w:r>
          </w:p>
          <w:p w14:paraId="642AE920" w14:textId="77777777" w:rsidR="009D2660" w:rsidRPr="007F0743" w:rsidRDefault="009D2660" w:rsidP="009D2660">
            <w:pPr>
              <w:numPr>
                <w:ilvl w:val="0"/>
                <w:numId w:val="1"/>
              </w:numPr>
              <w:suppressAutoHyphens/>
              <w:autoSpaceDN w:val="0"/>
              <w:spacing w:before="120" w:after="120"/>
              <w:ind w:left="314" w:hanging="314"/>
              <w:textAlignment w:val="baseline"/>
            </w:pPr>
            <w:r w:rsidRPr="007F0743">
              <w:rPr>
                <w:rFonts w:ascii="Calibri" w:hAnsi="Calibri"/>
                <w:sz w:val="22"/>
                <w:szCs w:val="22"/>
              </w:rPr>
              <w:t>Tillsätt en droppe vatten med en lång pipett från sidan. Då man ”släcker” elden med vatten får man en praktfull eldkvast.</w:t>
            </w:r>
          </w:p>
        </w:tc>
      </w:tr>
    </w:tbl>
    <w:p w14:paraId="3C8FE850" w14:textId="77777777" w:rsidR="009D2660" w:rsidRPr="007F0743" w:rsidRDefault="009D2660" w:rsidP="009D2660">
      <w:pPr>
        <w:rPr>
          <w:i/>
        </w:rPr>
      </w:pPr>
      <w:r w:rsidRPr="007F0743">
        <w:rPr>
          <w:i/>
        </w:rPr>
        <w:br w:type="page"/>
      </w:r>
    </w:p>
    <w:p w14:paraId="77D01BC0" w14:textId="77777777" w:rsidR="009D2660" w:rsidRDefault="009D2660" w:rsidP="009D2660"/>
    <w:tbl>
      <w:tblPr>
        <w:tblW w:w="9527" w:type="dxa"/>
        <w:tblCellMar>
          <w:left w:w="10" w:type="dxa"/>
          <w:right w:w="10" w:type="dxa"/>
        </w:tblCellMar>
        <w:tblLook w:val="04A0" w:firstRow="1" w:lastRow="0" w:firstColumn="1" w:lastColumn="0" w:noHBand="0" w:noVBand="1"/>
      </w:tblPr>
      <w:tblGrid>
        <w:gridCol w:w="1849"/>
        <w:gridCol w:w="7678"/>
      </w:tblGrid>
      <w:tr w:rsidR="009D2660" w:rsidRPr="007F0743" w14:paraId="08D8FBD7" w14:textId="77777777" w:rsidTr="00C60379">
        <w:tc>
          <w:tcPr>
            <w:tcW w:w="9527" w:type="dxa"/>
            <w:gridSpan w:val="2"/>
            <w:shd w:val="clear" w:color="auto" w:fill="auto"/>
            <w:tcMar>
              <w:top w:w="0" w:type="dxa"/>
              <w:left w:w="108" w:type="dxa"/>
              <w:bottom w:w="0" w:type="dxa"/>
              <w:right w:w="108" w:type="dxa"/>
            </w:tcMar>
          </w:tcPr>
          <w:p w14:paraId="05C59B06" w14:textId="77777777" w:rsidR="009D2660" w:rsidRPr="007F0743" w:rsidRDefault="009D2660" w:rsidP="007A44A0">
            <w:pPr>
              <w:spacing w:before="120" w:after="240"/>
              <w:rPr>
                <w:rFonts w:ascii="Geneva" w:hAnsi="Geneva"/>
              </w:rPr>
            </w:pPr>
            <w:r w:rsidRPr="007F0743">
              <w:rPr>
                <w:i/>
              </w:rPr>
              <w:br w:type="page"/>
            </w:r>
            <w:r w:rsidRPr="007F0743">
              <w:rPr>
                <w:rFonts w:ascii="Geneva" w:hAnsi="Geneva"/>
              </w:rPr>
              <w:t>Till läraren Demonstration av hur matolja brinner</w:t>
            </w:r>
          </w:p>
        </w:tc>
      </w:tr>
      <w:tr w:rsidR="009D2660" w:rsidRPr="007F0743" w14:paraId="68DD3651" w14:textId="77777777" w:rsidTr="00C60379">
        <w:tc>
          <w:tcPr>
            <w:tcW w:w="1849" w:type="dxa"/>
            <w:shd w:val="clear" w:color="auto" w:fill="auto"/>
            <w:tcMar>
              <w:top w:w="0" w:type="dxa"/>
              <w:left w:w="108" w:type="dxa"/>
              <w:bottom w:w="0" w:type="dxa"/>
              <w:right w:w="108" w:type="dxa"/>
            </w:tcMar>
          </w:tcPr>
          <w:p w14:paraId="07422599" w14:textId="77777777" w:rsidR="009D2660" w:rsidRPr="007F0743" w:rsidRDefault="009D2660" w:rsidP="007A44A0">
            <w:pPr>
              <w:spacing w:before="120"/>
              <w:rPr>
                <w:rFonts w:ascii="Geneva" w:hAnsi="Geneva"/>
                <w:sz w:val="22"/>
                <w:szCs w:val="22"/>
              </w:rPr>
            </w:pPr>
            <w:r w:rsidRPr="007F0743">
              <w:rPr>
                <w:rFonts w:ascii="Geneva" w:hAnsi="Geneva"/>
                <w:sz w:val="22"/>
                <w:szCs w:val="22"/>
              </w:rPr>
              <w:t>Teori</w:t>
            </w:r>
          </w:p>
        </w:tc>
        <w:tc>
          <w:tcPr>
            <w:tcW w:w="7678" w:type="dxa"/>
            <w:shd w:val="clear" w:color="auto" w:fill="auto"/>
            <w:tcMar>
              <w:top w:w="0" w:type="dxa"/>
              <w:left w:w="108" w:type="dxa"/>
              <w:bottom w:w="0" w:type="dxa"/>
              <w:right w:w="108" w:type="dxa"/>
            </w:tcMar>
          </w:tcPr>
          <w:p w14:paraId="0FA924CB" w14:textId="77777777" w:rsidR="009D2660" w:rsidRPr="007F0743" w:rsidRDefault="009D2660" w:rsidP="007A44A0">
            <w:pPr>
              <w:spacing w:before="120" w:after="120"/>
              <w:rPr>
                <w:sz w:val="22"/>
                <w:szCs w:val="22"/>
              </w:rPr>
            </w:pPr>
            <w:r w:rsidRPr="007F0743">
              <w:rPr>
                <w:rFonts w:ascii="Calibri" w:hAnsi="Calibri"/>
                <w:sz w:val="22"/>
                <w:szCs w:val="22"/>
              </w:rPr>
              <w:t xml:space="preserve">Fett antänds vid temperaturer över 400 </w:t>
            </w:r>
            <w:r w:rsidRPr="007F0743">
              <w:rPr>
                <w:rStyle w:val="tx"/>
                <w:rFonts w:ascii="Symbol" w:eastAsia="Symbol" w:hAnsi="Symbol" w:cs="Symbol"/>
                <w:sz w:val="22"/>
                <w:szCs w:val="22"/>
              </w:rPr>
              <w:t></w:t>
            </w:r>
            <w:r w:rsidRPr="007F0743">
              <w:rPr>
                <w:rStyle w:val="tx"/>
                <w:rFonts w:ascii="Calibri" w:hAnsi="Calibri" w:cs="Calibri"/>
                <w:sz w:val="22"/>
                <w:szCs w:val="22"/>
              </w:rPr>
              <w:t xml:space="preserve">C. Som bekant kokar vatten redan vid </w:t>
            </w:r>
            <w:r w:rsidRPr="007F0743">
              <w:rPr>
                <w:rFonts w:ascii="Calibri" w:hAnsi="Calibri"/>
                <w:sz w:val="22"/>
                <w:szCs w:val="22"/>
              </w:rPr>
              <w:t xml:space="preserve">100 </w:t>
            </w:r>
            <w:r w:rsidRPr="007F0743">
              <w:rPr>
                <w:rStyle w:val="tx"/>
                <w:rFonts w:ascii="Symbol" w:eastAsia="Symbol" w:hAnsi="Symbol" w:cs="Symbol"/>
                <w:sz w:val="22"/>
                <w:szCs w:val="22"/>
              </w:rPr>
              <w:t></w:t>
            </w:r>
            <w:r w:rsidRPr="007F0743">
              <w:rPr>
                <w:rStyle w:val="tx"/>
                <w:rFonts w:ascii="Calibri" w:hAnsi="Calibri" w:cs="Calibri"/>
                <w:sz w:val="22"/>
                <w:szCs w:val="22"/>
              </w:rPr>
              <w:t>C. Om man häller vatten på brinnande fett kommer vattnet omedelbart att övergå i ånga. Då den varma vattenångan stiger drar den med sig brinnande fettdroppar, vilket resulterar i ett enormt eldklot.</w:t>
            </w:r>
          </w:p>
          <w:p w14:paraId="66F53ACA" w14:textId="77777777" w:rsidR="009D2660" w:rsidRPr="007F0743" w:rsidRDefault="009D2660" w:rsidP="007A44A0">
            <w:pPr>
              <w:spacing w:before="120" w:after="120"/>
              <w:rPr>
                <w:rFonts w:ascii="Calibri" w:hAnsi="Calibri"/>
                <w:sz w:val="22"/>
                <w:szCs w:val="22"/>
              </w:rPr>
            </w:pPr>
            <w:r w:rsidRPr="007F0743">
              <w:rPr>
                <w:rFonts w:ascii="Calibri" w:hAnsi="Calibri"/>
                <w:sz w:val="22"/>
                <w:szCs w:val="22"/>
              </w:rPr>
              <w:t>Brinnande olja kan inte släckas med vatten utan elden måste kvävas. I liten skala använder man t.ex. ett grytlock. I större skala kväver man elden med hjälp av koldioxid.</w:t>
            </w:r>
          </w:p>
        </w:tc>
      </w:tr>
      <w:tr w:rsidR="00C60379" w:rsidRPr="007F0743" w14:paraId="1A10A254" w14:textId="77777777" w:rsidTr="00C60379">
        <w:tc>
          <w:tcPr>
            <w:tcW w:w="1849" w:type="dxa"/>
            <w:shd w:val="clear" w:color="auto" w:fill="auto"/>
            <w:tcMar>
              <w:top w:w="0" w:type="dxa"/>
              <w:left w:w="108" w:type="dxa"/>
              <w:bottom w:w="0" w:type="dxa"/>
              <w:right w:w="108" w:type="dxa"/>
            </w:tcMar>
          </w:tcPr>
          <w:p w14:paraId="0979A097" w14:textId="77777777" w:rsidR="00C60379" w:rsidRPr="007F0743" w:rsidRDefault="00C60379" w:rsidP="00C60379">
            <w:pPr>
              <w:spacing w:before="120"/>
              <w:rPr>
                <w:rFonts w:ascii="Geneva" w:hAnsi="Geneva"/>
                <w:sz w:val="22"/>
                <w:szCs w:val="22"/>
              </w:rPr>
            </w:pPr>
            <w:r w:rsidRPr="007F0743">
              <w:rPr>
                <w:rFonts w:ascii="Geneva" w:hAnsi="Geneva"/>
                <w:sz w:val="22"/>
                <w:szCs w:val="22"/>
              </w:rPr>
              <w:t xml:space="preserve">Underlag för riskbedömning </w:t>
            </w:r>
          </w:p>
        </w:tc>
        <w:tc>
          <w:tcPr>
            <w:tcW w:w="7678" w:type="dxa"/>
            <w:shd w:val="clear" w:color="auto" w:fill="auto"/>
            <w:tcMar>
              <w:top w:w="0" w:type="dxa"/>
              <w:left w:w="108" w:type="dxa"/>
              <w:bottom w:w="0" w:type="dxa"/>
              <w:right w:w="108" w:type="dxa"/>
            </w:tcMar>
          </w:tcPr>
          <w:p w14:paraId="1A126832" w14:textId="77777777" w:rsidR="00C60379" w:rsidRDefault="00C60379" w:rsidP="00C60379">
            <w:pPr>
              <w:spacing w:before="120" w:after="120"/>
              <w:rPr>
                <w:rFonts w:ascii="Calibri" w:hAnsi="Calibri" w:cs="Calibri"/>
                <w:color w:val="3B3B3B"/>
              </w:rPr>
            </w:pPr>
            <w:r w:rsidRPr="00264432">
              <w:rPr>
                <w:rFonts w:asciiTheme="minorHAnsi" w:hAnsiTheme="minorHAnsi"/>
              </w:rPr>
              <w:t xml:space="preserve">Paraffinolja Fara, Hälsofara, </w:t>
            </w:r>
            <w:r w:rsidRPr="00264432">
              <w:rPr>
                <w:rFonts w:ascii="Calibri" w:hAnsi="Calibri" w:cs="Calibri"/>
                <w:color w:val="3B3B3B"/>
              </w:rPr>
              <w:t>H304 Kan vara dödligt vid förtäring om det kommer ner i luftvägarna H413 Kan ge Skadlig långtidseffekter på vattenlevande organismer, P273, P301+P310, P331, P405, P501</w:t>
            </w:r>
          </w:p>
          <w:p w14:paraId="4F340780" w14:textId="77777777" w:rsidR="00C60379" w:rsidRPr="00264432" w:rsidRDefault="00C60379" w:rsidP="00C60379">
            <w:pPr>
              <w:spacing w:before="120" w:after="120"/>
              <w:rPr>
                <w:rFonts w:asciiTheme="minorHAnsi" w:hAnsiTheme="minorHAnsi"/>
                <w:color w:val="000000"/>
              </w:rPr>
            </w:pPr>
            <w:r>
              <w:rPr>
                <w:rFonts w:ascii="Calibri" w:hAnsi="Calibri" w:cs="Calibri"/>
                <w:color w:val="3B3B3B"/>
              </w:rPr>
              <w:t>Vegetabiliska olja Ej märkespliktigt</w:t>
            </w:r>
          </w:p>
        </w:tc>
      </w:tr>
      <w:tr w:rsidR="00C60379" w:rsidRPr="007F0743" w14:paraId="63EFBCDA" w14:textId="77777777" w:rsidTr="00C60379">
        <w:tc>
          <w:tcPr>
            <w:tcW w:w="1849" w:type="dxa"/>
            <w:shd w:val="clear" w:color="auto" w:fill="auto"/>
            <w:tcMar>
              <w:top w:w="0" w:type="dxa"/>
              <w:left w:w="108" w:type="dxa"/>
              <w:bottom w:w="0" w:type="dxa"/>
              <w:right w:w="108" w:type="dxa"/>
            </w:tcMar>
          </w:tcPr>
          <w:p w14:paraId="0B30286A" w14:textId="77777777" w:rsidR="00C60379" w:rsidRPr="007F0743" w:rsidRDefault="00C60379" w:rsidP="00C60379">
            <w:pPr>
              <w:spacing w:before="120"/>
              <w:rPr>
                <w:rFonts w:ascii="Geneva" w:hAnsi="Geneva"/>
                <w:sz w:val="22"/>
                <w:szCs w:val="22"/>
              </w:rPr>
            </w:pPr>
            <w:r w:rsidRPr="007F0743">
              <w:rPr>
                <w:rFonts w:ascii="Geneva" w:hAnsi="Geneva"/>
                <w:sz w:val="22"/>
                <w:szCs w:val="22"/>
              </w:rPr>
              <w:t>Tips</w:t>
            </w:r>
          </w:p>
        </w:tc>
        <w:tc>
          <w:tcPr>
            <w:tcW w:w="7678" w:type="dxa"/>
            <w:shd w:val="clear" w:color="auto" w:fill="auto"/>
            <w:tcMar>
              <w:top w:w="0" w:type="dxa"/>
              <w:left w:w="108" w:type="dxa"/>
              <w:bottom w:w="0" w:type="dxa"/>
              <w:right w:w="108" w:type="dxa"/>
            </w:tcMar>
          </w:tcPr>
          <w:p w14:paraId="518B3150" w14:textId="77777777" w:rsidR="00C60379" w:rsidRPr="007F0743" w:rsidRDefault="00C60379" w:rsidP="00C60379">
            <w:pPr>
              <w:spacing w:before="120" w:after="120"/>
              <w:rPr>
                <w:rFonts w:ascii="Calibri" w:hAnsi="Calibri"/>
                <w:sz w:val="22"/>
                <w:szCs w:val="22"/>
              </w:rPr>
            </w:pPr>
            <w:r w:rsidRPr="007F0743">
              <w:rPr>
                <w:rFonts w:ascii="Calibri" w:hAnsi="Calibri"/>
                <w:sz w:val="22"/>
                <w:szCs w:val="22"/>
              </w:rPr>
              <w:t>Visa rätt släckningsmetod med brinnande T-sprit i en stekpanna och släck genom att lägga på ett lock.</w:t>
            </w:r>
          </w:p>
        </w:tc>
      </w:tr>
      <w:tr w:rsidR="00C60379" w:rsidRPr="007F0743" w14:paraId="5988F4FA" w14:textId="77777777" w:rsidTr="00C60379">
        <w:tc>
          <w:tcPr>
            <w:tcW w:w="1849" w:type="dxa"/>
            <w:shd w:val="clear" w:color="auto" w:fill="auto"/>
            <w:tcMar>
              <w:top w:w="0" w:type="dxa"/>
              <w:left w:w="108" w:type="dxa"/>
              <w:bottom w:w="0" w:type="dxa"/>
              <w:right w:w="108" w:type="dxa"/>
            </w:tcMar>
          </w:tcPr>
          <w:p w14:paraId="7F2CDB85" w14:textId="77777777" w:rsidR="00C60379" w:rsidRDefault="00C60379" w:rsidP="00C60379">
            <w:pPr>
              <w:spacing w:before="120"/>
              <w:rPr>
                <w:rFonts w:ascii="Geneva" w:hAnsi="Geneva"/>
                <w:sz w:val="22"/>
                <w:szCs w:val="22"/>
              </w:rPr>
            </w:pPr>
            <w:r>
              <w:rPr>
                <w:rFonts w:ascii="Geneva" w:hAnsi="Geneva"/>
                <w:sz w:val="22"/>
                <w:szCs w:val="22"/>
              </w:rPr>
              <w:t>Alternativt material</w:t>
            </w:r>
          </w:p>
          <w:p w14:paraId="76EE85D5" w14:textId="77777777" w:rsidR="00C60379" w:rsidRPr="007F0743" w:rsidRDefault="00C60379" w:rsidP="00C60379">
            <w:pPr>
              <w:spacing w:before="120"/>
              <w:rPr>
                <w:rFonts w:ascii="Geneva" w:hAnsi="Geneva"/>
                <w:sz w:val="22"/>
                <w:szCs w:val="22"/>
              </w:rPr>
            </w:pPr>
            <w:r w:rsidRPr="007F0743">
              <w:rPr>
                <w:rFonts w:ascii="Geneva" w:hAnsi="Geneva"/>
                <w:noProof/>
                <w:sz w:val="22"/>
                <w:szCs w:val="22"/>
              </w:rPr>
              <w:drawing>
                <wp:inline distT="0" distB="0" distL="0" distR="0" wp14:anchorId="1293DF8E" wp14:editId="4DF415F7">
                  <wp:extent cx="811914" cy="833923"/>
                  <wp:effectExtent l="7937" t="0" r="0" b="0"/>
                  <wp:docPr id="3" name="Bildobjekt 17" descr="C:\Users\jeol4322\Box Sync\KRC - jeol\Jeol\Bilder\kapsy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ol4322\Box Sync\KRC - jeol\Jeol\Bilder\kapsyl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634" t="21874" r="34380" b="11041"/>
                          <a:stretch/>
                        </pic:blipFill>
                        <pic:spPr bwMode="auto">
                          <a:xfrm rot="5400000">
                            <a:off x="0" y="0"/>
                            <a:ext cx="815711" cy="8378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78" w:type="dxa"/>
            <w:shd w:val="clear" w:color="auto" w:fill="auto"/>
            <w:tcMar>
              <w:top w:w="0" w:type="dxa"/>
              <w:left w:w="108" w:type="dxa"/>
              <w:bottom w:w="0" w:type="dxa"/>
              <w:right w:w="108" w:type="dxa"/>
            </w:tcMar>
          </w:tcPr>
          <w:p w14:paraId="37913AC9" w14:textId="77777777" w:rsidR="00C60379" w:rsidRPr="007F0743" w:rsidRDefault="00C60379" w:rsidP="00C60379">
            <w:pPr>
              <w:spacing w:before="120" w:after="120"/>
              <w:rPr>
                <w:rFonts w:ascii="Calibri" w:hAnsi="Calibri"/>
                <w:sz w:val="22"/>
                <w:szCs w:val="22"/>
              </w:rPr>
            </w:pPr>
            <w:r w:rsidRPr="007F0743">
              <w:rPr>
                <w:rFonts w:ascii="Calibri" w:hAnsi="Calibri"/>
                <w:sz w:val="22"/>
                <w:szCs w:val="22"/>
              </w:rPr>
              <w:t xml:space="preserve">Som alternativ till olja och degel kan man använda flytande paraffin (luktar mindre än matolja). Istället för degel kan man använda en liten metallburk t.ex. en metallkapsyl som man har dragits en skruv med mutter igenom, som man håller i med en tång, </w:t>
            </w:r>
            <w:r>
              <w:rPr>
                <w:rFonts w:ascii="Calibri" w:hAnsi="Calibri"/>
                <w:sz w:val="22"/>
                <w:szCs w:val="22"/>
              </w:rPr>
              <w:t>se bild</w:t>
            </w:r>
            <w:r w:rsidRPr="007F0743">
              <w:rPr>
                <w:rFonts w:ascii="Calibri" w:hAnsi="Calibri"/>
                <w:sz w:val="22"/>
                <w:szCs w:val="22"/>
              </w:rPr>
              <w:t>.</w:t>
            </w:r>
          </w:p>
        </w:tc>
      </w:tr>
      <w:tr w:rsidR="00C60379" w:rsidRPr="007F0743" w14:paraId="269ED6C4" w14:textId="77777777" w:rsidTr="00C60379">
        <w:tc>
          <w:tcPr>
            <w:tcW w:w="1849" w:type="dxa"/>
            <w:shd w:val="clear" w:color="auto" w:fill="auto"/>
            <w:tcMar>
              <w:top w:w="0" w:type="dxa"/>
              <w:left w:w="108" w:type="dxa"/>
              <w:bottom w:w="0" w:type="dxa"/>
              <w:right w:w="108" w:type="dxa"/>
            </w:tcMar>
          </w:tcPr>
          <w:p w14:paraId="762B115B" w14:textId="77777777" w:rsidR="00C60379" w:rsidRPr="007F0743" w:rsidRDefault="00C60379" w:rsidP="00C60379">
            <w:pPr>
              <w:spacing w:before="120"/>
              <w:rPr>
                <w:rFonts w:ascii="Geneva" w:hAnsi="Geneva"/>
                <w:sz w:val="22"/>
                <w:szCs w:val="22"/>
              </w:rPr>
            </w:pPr>
          </w:p>
        </w:tc>
        <w:tc>
          <w:tcPr>
            <w:tcW w:w="7678" w:type="dxa"/>
            <w:shd w:val="clear" w:color="auto" w:fill="auto"/>
            <w:tcMar>
              <w:top w:w="0" w:type="dxa"/>
              <w:left w:w="108" w:type="dxa"/>
              <w:bottom w:w="0" w:type="dxa"/>
              <w:right w:w="108" w:type="dxa"/>
            </w:tcMar>
          </w:tcPr>
          <w:p w14:paraId="6D45B788" w14:textId="77777777" w:rsidR="00C60379" w:rsidRPr="007F0743" w:rsidRDefault="00C60379" w:rsidP="00C60379">
            <w:pPr>
              <w:spacing w:before="120" w:after="120"/>
              <w:rPr>
                <w:rFonts w:ascii="Calibri" w:hAnsi="Calibri"/>
                <w:sz w:val="22"/>
                <w:szCs w:val="22"/>
              </w:rPr>
            </w:pPr>
          </w:p>
        </w:tc>
      </w:tr>
    </w:tbl>
    <w:p w14:paraId="36A1E882" w14:textId="77777777" w:rsidR="009D2660" w:rsidRDefault="009D2660" w:rsidP="009D2660">
      <w:r>
        <w:t xml:space="preserve"> </w:t>
      </w:r>
    </w:p>
    <w:sectPr w:rsidR="009D2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altName w:val="Arial"/>
    <w:charset w:val="00"/>
    <w:family w:val="auto"/>
    <w:pitch w:val="variable"/>
    <w:sig w:usb0="E00002FF" w:usb1="5200205F" w:usb2="00A0C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4D8B"/>
    <w:multiLevelType w:val="multilevel"/>
    <w:tmpl w:val="451EF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747A85"/>
    <w:multiLevelType w:val="hybridMultilevel"/>
    <w:tmpl w:val="E182BB9A"/>
    <w:lvl w:ilvl="0" w:tplc="2C90DC28">
      <w:start w:val="20"/>
      <w:numFmt w:val="decimal"/>
      <w:lvlText w:val="%1"/>
      <w:lvlJc w:val="left"/>
      <w:pPr>
        <w:ind w:left="1440" w:hanging="360"/>
      </w:pPr>
      <w:rPr>
        <w:rFonts w:ascii="Geneva" w:hAnsi="Geneva" w:hint="default"/>
        <w:sz w:val="36"/>
        <w:szCs w:val="3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60"/>
    <w:rsid w:val="00741ED8"/>
    <w:rsid w:val="009D2660"/>
    <w:rsid w:val="00C603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EFD7"/>
  <w15:chartTrackingRefBased/>
  <w15:docId w15:val="{5C03B277-3436-4253-82DB-B5E75C67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66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9D266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qFormat/>
    <w:rsid w:val="009D2660"/>
    <w:pPr>
      <w:keepNext/>
      <w:widowControl w:val="0"/>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2660"/>
    <w:rPr>
      <w:rFonts w:asciiTheme="majorHAnsi" w:eastAsiaTheme="majorEastAsia" w:hAnsiTheme="majorHAnsi" w:cstheme="majorBidi"/>
      <w:b/>
      <w:bCs/>
      <w:color w:val="2F5496" w:themeColor="accent1" w:themeShade="BF"/>
      <w:sz w:val="28"/>
      <w:szCs w:val="28"/>
      <w:lang w:eastAsia="sv-SE"/>
    </w:rPr>
  </w:style>
  <w:style w:type="character" w:customStyle="1" w:styleId="Rubrik2Char">
    <w:name w:val="Rubrik 2 Char"/>
    <w:basedOn w:val="Standardstycketeckensnitt"/>
    <w:link w:val="Rubrik2"/>
    <w:rsid w:val="009D2660"/>
    <w:rPr>
      <w:rFonts w:ascii="Arial" w:eastAsia="Times New Roman" w:hAnsi="Arial" w:cs="Arial"/>
      <w:b/>
      <w:bCs/>
      <w:i/>
      <w:iCs/>
      <w:sz w:val="28"/>
      <w:szCs w:val="28"/>
      <w:lang w:eastAsia="sv-SE"/>
    </w:rPr>
  </w:style>
  <w:style w:type="paragraph" w:styleId="Liststycke">
    <w:name w:val="List Paragraph"/>
    <w:basedOn w:val="Normal"/>
    <w:uiPriority w:val="34"/>
    <w:qFormat/>
    <w:rsid w:val="009D2660"/>
    <w:pPr>
      <w:ind w:left="720"/>
      <w:contextualSpacing/>
    </w:pPr>
  </w:style>
  <w:style w:type="character" w:customStyle="1" w:styleId="tx">
    <w:name w:val="tx"/>
    <w:basedOn w:val="Standardstycketeckensnitt"/>
    <w:rsid w:val="009D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5E01-3ED2-4878-B438-0184611E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325</Words>
  <Characters>1726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Jenny Olander</cp:lastModifiedBy>
  <cp:revision>2</cp:revision>
  <cp:lastPrinted>2020-02-04T21:54:00Z</cp:lastPrinted>
  <dcterms:created xsi:type="dcterms:W3CDTF">2019-12-16T17:22:00Z</dcterms:created>
  <dcterms:modified xsi:type="dcterms:W3CDTF">2020-02-04T21:54:00Z</dcterms:modified>
</cp:coreProperties>
</file>