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1959" w14:textId="77777777" w:rsidR="003507F3" w:rsidRDefault="00BE6A49" w:rsidP="00BE6A49">
      <w:pPr>
        <w:ind w:left="284"/>
        <w:jc w:val="right"/>
        <w:rPr>
          <w:rFonts w:ascii="Geneva" w:hAnsi="Geneva"/>
          <w:sz w:val="40"/>
          <w:szCs w:val="40"/>
        </w:rPr>
      </w:pPr>
      <w:r>
        <w:rPr>
          <w:rFonts w:ascii="Geneva" w:hAnsi="Geneva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C321E" wp14:editId="1ABBB278">
                <wp:simplePos x="0" y="0"/>
                <wp:positionH relativeFrom="margin">
                  <wp:posOffset>381000</wp:posOffset>
                </wp:positionH>
                <wp:positionV relativeFrom="topMargin">
                  <wp:posOffset>464820</wp:posOffset>
                </wp:positionV>
                <wp:extent cx="2080260" cy="1374775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D45DB" w14:textId="77777777" w:rsidR="00224814" w:rsidRDefault="00224814" w:rsidP="00224814">
                            <w:pPr>
                              <w:ind w:left="-142"/>
                            </w:pPr>
                            <w:r>
                              <w:object w:dxaOrig="1632" w:dyaOrig="1668" w14:anchorId="350BACE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.75pt;height:83.25pt" o:ole="" fillcolor="window">
                                  <v:imagedata r:id="rId8" o:title=""/>
                                </v:shape>
                                <o:OLEObject Type="Embed" ProgID="MSDraw" ShapeID="_x0000_i1026" DrawAspect="Content" ObjectID="_1633850793" r:id="rId9"/>
                              </w:object>
                            </w:r>
                          </w:p>
                          <w:p w14:paraId="18AD943D" w14:textId="77777777" w:rsidR="00966E60" w:rsidRDefault="00966E60" w:rsidP="0097303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C321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pt;margin-top:36.6pt;width:163.8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" filled="f" stroked="f">
                <v:textbox>
                  <w:txbxContent>
                    <w:p w14:paraId="1B3D45DB" w14:textId="77777777" w:rsidR="00224814" w:rsidRDefault="00224814" w:rsidP="00224814">
                      <w:pPr>
                        <w:ind w:left="-142"/>
                      </w:pPr>
                      <w:r>
                        <w:object w:dxaOrig="1632" w:dyaOrig="1668" w14:anchorId="350BACE9">
                          <v:shape id="_x0000_i1026" type="#_x0000_t75" style="width:81.75pt;height:83.25pt" o:ole="" fillcolor="window">
                            <v:imagedata r:id="rId8" o:title=""/>
                          </v:shape>
                          <o:OLEObject Type="Embed" ProgID="MSDraw" ShapeID="_x0000_i1026" DrawAspect="Content" ObjectID="_1633850793" r:id="rId10"/>
                        </w:object>
                      </w:r>
                    </w:p>
                    <w:p w14:paraId="18AD943D" w14:textId="77777777" w:rsidR="00966E60" w:rsidRDefault="00966E60" w:rsidP="0097303E">
                      <w:pPr>
                        <w:ind w:left="-14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614506" w14:textId="77777777" w:rsidR="00BE6A49" w:rsidRPr="00BE6A49" w:rsidRDefault="009332D0" w:rsidP="009332D0">
      <w:pPr>
        <w:tabs>
          <w:tab w:val="left" w:pos="1824"/>
          <w:tab w:val="right" w:pos="5910"/>
        </w:tabs>
        <w:spacing w:after="360"/>
        <w:ind w:right="249"/>
        <w:rPr>
          <w:rFonts w:ascii="Geneva" w:hAnsi="Geneva"/>
          <w:sz w:val="40"/>
          <w:szCs w:val="40"/>
        </w:rPr>
      </w:pPr>
      <w:r>
        <w:rPr>
          <w:rFonts w:ascii="Geneva" w:hAnsi="Geneva"/>
          <w:sz w:val="40"/>
          <w:szCs w:val="40"/>
        </w:rPr>
        <w:tab/>
      </w:r>
      <w:r w:rsidR="00224814">
        <w:rPr>
          <w:rFonts w:ascii="Geneva" w:hAnsi="Geneva"/>
          <w:sz w:val="40"/>
          <w:szCs w:val="40"/>
        </w:rPr>
        <w:t xml:space="preserve">         Rödv</w:t>
      </w:r>
      <w:r>
        <w:rPr>
          <w:rFonts w:ascii="Geneva" w:hAnsi="Geneva"/>
          <w:sz w:val="40"/>
          <w:szCs w:val="40"/>
        </w:rPr>
        <w:t xml:space="preserve">in </w:t>
      </w:r>
      <w:r w:rsidR="00224814">
        <w:rPr>
          <w:rFonts w:ascii="Geneva" w:hAnsi="Geneva"/>
          <w:sz w:val="40"/>
          <w:szCs w:val="40"/>
        </w:rPr>
        <w:t>till</w:t>
      </w:r>
      <w:r>
        <w:rPr>
          <w:rFonts w:ascii="Geneva" w:hAnsi="Geneva"/>
          <w:sz w:val="40"/>
          <w:szCs w:val="40"/>
        </w:rPr>
        <w:t xml:space="preserve"> vatten    </w:t>
      </w:r>
    </w:p>
    <w:tbl>
      <w:tblPr>
        <w:tblStyle w:val="Tabellrutnt"/>
        <w:tblW w:w="9527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660"/>
      </w:tblGrid>
      <w:tr w:rsidR="00BE6A49" w14:paraId="50C9550E" w14:textId="77777777" w:rsidTr="00655DC4">
        <w:tc>
          <w:tcPr>
            <w:tcW w:w="1867" w:type="dxa"/>
          </w:tcPr>
          <w:p w14:paraId="2CA1BAEB" w14:textId="77777777" w:rsidR="004E2345" w:rsidRPr="00654D3F" w:rsidRDefault="00273AEA" w:rsidP="00571833">
            <w:pPr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Inledning</w:t>
            </w:r>
            <w:r w:rsidR="00EF33EB" w:rsidRPr="00654D3F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60" w:type="dxa"/>
          </w:tcPr>
          <w:p w14:paraId="538C84A3" w14:textId="77777777" w:rsidR="004E2345" w:rsidRPr="00655DC4" w:rsidRDefault="009332D0" w:rsidP="002323F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En publikfriande demonstration </w:t>
            </w:r>
            <w:r w:rsidR="002323FD" w:rsidRPr="00655DC4">
              <w:rPr>
                <w:rFonts w:asciiTheme="minorHAnsi" w:hAnsiTheme="minorHAnsi" w:cstheme="minorHAnsi"/>
                <w:sz w:val="22"/>
                <w:szCs w:val="22"/>
              </w:rPr>
              <w:t>där rödvin förvandlas till vatten</w:t>
            </w:r>
          </w:p>
        </w:tc>
      </w:tr>
      <w:tr w:rsidR="00BE6A49" w14:paraId="6D39093B" w14:textId="77777777" w:rsidTr="00655DC4">
        <w:tc>
          <w:tcPr>
            <w:tcW w:w="1867" w:type="dxa"/>
          </w:tcPr>
          <w:p w14:paraId="56D0CCE1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Material</w:t>
            </w:r>
          </w:p>
        </w:tc>
        <w:tc>
          <w:tcPr>
            <w:tcW w:w="7660" w:type="dxa"/>
          </w:tcPr>
          <w:p w14:paraId="2350C8EE" w14:textId="77777777" w:rsidR="004E2345" w:rsidRPr="00655DC4" w:rsidRDefault="00EB27E8" w:rsidP="00EB27E8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>Natriumhydroxid, svavelsyra, fenolftalein, tre bägare.</w:t>
            </w:r>
          </w:p>
        </w:tc>
      </w:tr>
      <w:tr w:rsidR="00BE6A49" w14:paraId="3AE161F4" w14:textId="77777777" w:rsidTr="00655DC4">
        <w:tc>
          <w:tcPr>
            <w:tcW w:w="1867" w:type="dxa"/>
          </w:tcPr>
          <w:p w14:paraId="4024142B" w14:textId="77777777" w:rsidR="004E2345" w:rsidRPr="00654D3F" w:rsidRDefault="000B6FC2" w:rsidP="000B6FC2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Riskbedömning</w:t>
            </w:r>
          </w:p>
        </w:tc>
        <w:tc>
          <w:tcPr>
            <w:tcW w:w="7660" w:type="dxa"/>
          </w:tcPr>
          <w:p w14:paraId="432699A7" w14:textId="616CAE2D" w:rsidR="004E2345" w:rsidRPr="00655DC4" w:rsidRDefault="0019655F" w:rsidP="0019655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B27E8" w:rsidRPr="00655DC4">
              <w:rPr>
                <w:rFonts w:asciiTheme="minorHAnsi" w:hAnsiTheme="minorHAnsi" w:cstheme="minorHAnsi"/>
                <w:sz w:val="22"/>
                <w:szCs w:val="22"/>
              </w:rPr>
              <w:t>kyddsglasögon och personlig skyddsutrustning.</w:t>
            </w:r>
            <w:r w:rsidR="00EB27E8" w:rsidRPr="00655DC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BE6A49" w14:paraId="6D745B94" w14:textId="77777777" w:rsidTr="00655DC4">
        <w:tc>
          <w:tcPr>
            <w:tcW w:w="1867" w:type="dxa"/>
          </w:tcPr>
          <w:p w14:paraId="73778FA6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  <w:r w:rsidRPr="00654D3F">
              <w:rPr>
                <w:rFonts w:ascii="Geneva" w:hAnsi="Geneva"/>
                <w:sz w:val="22"/>
                <w:szCs w:val="22"/>
              </w:rPr>
              <w:t>Utförande</w:t>
            </w:r>
          </w:p>
        </w:tc>
        <w:tc>
          <w:tcPr>
            <w:tcW w:w="7660" w:type="dxa"/>
          </w:tcPr>
          <w:p w14:paraId="35BA5238" w14:textId="4FF72914" w:rsidR="00224814" w:rsidRPr="00607EA9" w:rsidRDefault="00224814" w:rsidP="00607EA9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>I tre bägare finns (utan att publiken ser det)</w:t>
            </w:r>
            <w:r w:rsidRPr="00607E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7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Bägare nr 1:</w:t>
            </w:r>
            <w:r w:rsidRPr="00607EA9">
              <w:rPr>
                <w:rFonts w:asciiTheme="minorHAnsi" w:hAnsiTheme="minorHAnsi" w:cstheme="minorHAnsi"/>
                <w:sz w:val="22"/>
                <w:szCs w:val="22"/>
              </w:rPr>
              <w:t xml:space="preserve"> Några droppar NaOH (2 M)</w:t>
            </w:r>
            <w:r w:rsidRPr="00607E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7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Bägare nr 2:</w:t>
            </w:r>
            <w:r w:rsidRPr="00607EA9">
              <w:rPr>
                <w:rFonts w:asciiTheme="minorHAnsi" w:hAnsiTheme="minorHAnsi" w:cstheme="minorHAnsi"/>
                <w:sz w:val="22"/>
                <w:szCs w:val="22"/>
              </w:rPr>
              <w:t xml:space="preserve"> Några droppar fenolftalein</w:t>
            </w:r>
            <w:r w:rsidRPr="00607EA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7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Bägare nr 3:</w:t>
            </w:r>
            <w:r w:rsidRPr="00607EA9">
              <w:rPr>
                <w:rFonts w:asciiTheme="minorHAnsi" w:hAnsiTheme="minorHAnsi" w:cstheme="minorHAnsi"/>
                <w:sz w:val="22"/>
                <w:szCs w:val="22"/>
              </w:rPr>
              <w:t xml:space="preserve"> Några droppar konc. </w:t>
            </w:r>
            <w:r w:rsidRPr="00655DC4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object w:dxaOrig="864" w:dyaOrig="384" w14:anchorId="2DBA6BF4">
                <v:shape id="_x0000_i1027" type="#_x0000_t75" style="width:43.5pt;height:19.5pt" o:ole="" fillcolor="window">
                  <v:imagedata r:id="rId11" o:title=""/>
                </v:shape>
                <o:OLEObject Type="Embed" ProgID="Equation.3" ShapeID="_x0000_i1027" DrawAspect="Content" ObjectID="_1633850790" r:id="rId12"/>
              </w:object>
            </w:r>
          </w:p>
          <w:p w14:paraId="47F0F886" w14:textId="77777777" w:rsidR="00224814" w:rsidRPr="00655DC4" w:rsidRDefault="00224814" w:rsidP="00224814">
            <w:pPr>
              <w:tabs>
                <w:tab w:val="left" w:pos="709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07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Observera,</w:t>
            </w: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 att fenolftaleinet inte får hällas i bägare 2 förrän omedelbart före försöket. Annars avdunstar nämligen etanolen och bägaren får en vit beläggning.</w:t>
            </w:r>
          </w:p>
          <w:p w14:paraId="027AFFC7" w14:textId="77777777" w:rsidR="00224814" w:rsidRPr="00655DC4" w:rsidRDefault="00224814" w:rsidP="00224814">
            <w:pPr>
              <w:tabs>
                <w:tab w:val="left" w:pos="709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339A1" w14:textId="77777777" w:rsidR="00224814" w:rsidRPr="00655DC4" w:rsidRDefault="00224814" w:rsidP="00224814">
            <w:pPr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>I bägare nr 1 hälls vatten. Vattnet blir basiskt och färglöst.</w:t>
            </w:r>
            <w:r w:rsidRPr="00655DC4">
              <w:rPr>
                <w:rFonts w:asciiTheme="minorHAnsi" w:hAnsiTheme="minorHAnsi" w:cstheme="minorHAnsi"/>
                <w:sz w:val="22"/>
                <w:szCs w:val="22"/>
              </w:rPr>
              <w:br/>
              <w:t>Innehållet i nr 1 hälls över i bägare nr 2 och rödfärgas av indikatorn.</w:t>
            </w:r>
            <w:r w:rsidRPr="00655DC4">
              <w:rPr>
                <w:rFonts w:asciiTheme="minorHAnsi" w:hAnsiTheme="minorHAnsi" w:cstheme="minorHAnsi"/>
                <w:sz w:val="22"/>
                <w:szCs w:val="22"/>
              </w:rPr>
              <w:br/>
              <w:t>Slutligen hälls innehållet i bägare 2 över till bägare nr 3 och blir färglöst.</w:t>
            </w:r>
          </w:p>
          <w:p w14:paraId="4DB6A224" w14:textId="77777777" w:rsidR="00224814" w:rsidRPr="00655DC4" w:rsidRDefault="00224814" w:rsidP="00224814">
            <w:pPr>
              <w:tabs>
                <w:tab w:val="left" w:pos="709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728F3" w14:textId="77777777" w:rsidR="007D61AF" w:rsidRPr="00655DC4" w:rsidRDefault="00224814" w:rsidP="00224814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       Kan göras i form av en sketch, där gästen först f</w:t>
            </w:r>
            <w:bookmarkStart w:id="0" w:name="_GoBack"/>
            <w:bookmarkEnd w:id="0"/>
            <w:r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år vatten och sedan  </w:t>
            </w:r>
          </w:p>
          <w:p w14:paraId="606AE55E" w14:textId="77777777" w:rsidR="00224814" w:rsidRPr="00655DC4" w:rsidRDefault="00224814" w:rsidP="00224814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61AF"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>hallonsaft och slutligen vatten igen.</w:t>
            </w:r>
          </w:p>
          <w:p w14:paraId="7FEE20FC" w14:textId="77777777" w:rsidR="004E2345" w:rsidRPr="00655DC4" w:rsidRDefault="004E2345" w:rsidP="00571833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BE6A49" w14:paraId="13B2BBE7" w14:textId="77777777" w:rsidTr="00655DC4">
        <w:tc>
          <w:tcPr>
            <w:tcW w:w="1867" w:type="dxa"/>
          </w:tcPr>
          <w:p w14:paraId="23EA3CAC" w14:textId="77777777" w:rsidR="004E2345" w:rsidRPr="00654D3F" w:rsidRDefault="00A1337C" w:rsidP="00B64B4E">
            <w:pPr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Övrigt</w:t>
            </w:r>
          </w:p>
        </w:tc>
        <w:tc>
          <w:tcPr>
            <w:tcW w:w="7660" w:type="dxa"/>
          </w:tcPr>
          <w:p w14:paraId="6C26485B" w14:textId="77777777" w:rsidR="004E2345" w:rsidRPr="00655DC4" w:rsidRDefault="005B1835" w:rsidP="005B183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5DC4">
              <w:rPr>
                <w:rFonts w:asciiTheme="minorHAnsi" w:hAnsiTheme="minorHAnsi" w:cstheme="minorHAnsi"/>
                <w:sz w:val="22"/>
                <w:szCs w:val="22"/>
              </w:rPr>
              <w:t xml:space="preserve">Frågor till elever: Förklara experimentet </w:t>
            </w:r>
          </w:p>
        </w:tc>
      </w:tr>
      <w:tr w:rsidR="00BE6A49" w14:paraId="4C21261F" w14:textId="77777777" w:rsidTr="00655DC4">
        <w:tc>
          <w:tcPr>
            <w:tcW w:w="1867" w:type="dxa"/>
          </w:tcPr>
          <w:p w14:paraId="4ADF55AC" w14:textId="77777777" w:rsidR="004E2345" w:rsidRPr="00654D3F" w:rsidRDefault="004E2345" w:rsidP="00EF33EB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60" w:type="dxa"/>
          </w:tcPr>
          <w:p w14:paraId="74E68FA2" w14:textId="77777777" w:rsidR="004E2345" w:rsidRPr="003507F3" w:rsidRDefault="004E2345" w:rsidP="00571833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EC05F3C" w14:textId="77777777" w:rsidR="00654D3F" w:rsidRPr="00273AEA" w:rsidRDefault="00654D3F">
      <w:r w:rsidRPr="00273AEA">
        <w:br w:type="page"/>
      </w:r>
    </w:p>
    <w:p w14:paraId="251250D2" w14:textId="77777777" w:rsidR="00F91B77" w:rsidRPr="004E2345" w:rsidRDefault="00F91B77" w:rsidP="00EF33EB">
      <w:pPr>
        <w:spacing w:before="120"/>
        <w:jc w:val="center"/>
        <w:rPr>
          <w:i/>
        </w:rPr>
      </w:pPr>
    </w:p>
    <w:tbl>
      <w:tblPr>
        <w:tblStyle w:val="Tabellrutnt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71833" w14:paraId="5EBCDE2D" w14:textId="77777777" w:rsidTr="006E4D15">
        <w:tc>
          <w:tcPr>
            <w:tcW w:w="9498" w:type="dxa"/>
            <w:gridSpan w:val="2"/>
          </w:tcPr>
          <w:p w14:paraId="4AB361D4" w14:textId="77777777" w:rsidR="00EF33EB" w:rsidRPr="00654D3F" w:rsidRDefault="00273AEA" w:rsidP="00654D3F">
            <w:pPr>
              <w:spacing w:before="120" w:after="240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Till läraren</w:t>
            </w:r>
          </w:p>
        </w:tc>
      </w:tr>
      <w:tr w:rsidR="00273AEA" w14:paraId="11E46CDB" w14:textId="77777777" w:rsidTr="006E4D15">
        <w:tc>
          <w:tcPr>
            <w:tcW w:w="1843" w:type="dxa"/>
          </w:tcPr>
          <w:p w14:paraId="0EA44E3A" w14:textId="7C94B10D" w:rsidR="00EF33EB" w:rsidRPr="006E4D15" w:rsidRDefault="00607EA9" w:rsidP="006E4D15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Stöd</w:t>
            </w:r>
            <w:r w:rsidR="00654D3F" w:rsidRPr="006E4D15">
              <w:rPr>
                <w:rFonts w:ascii="Geneva" w:hAnsi="Geneva"/>
                <w:sz w:val="22"/>
                <w:szCs w:val="22"/>
              </w:rPr>
              <w:t xml:space="preserve"> för riskbedömning</w:t>
            </w:r>
            <w:r w:rsidR="000B6FC2" w:rsidRPr="006E4D15">
              <w:rPr>
                <w:rFonts w:ascii="Geneva" w:hAnsi="Geneva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5059AD6F" w14:textId="5AC42D51" w:rsidR="00625124" w:rsidRPr="006E4D15" w:rsidRDefault="00607EA9" w:rsidP="006E4D15">
            <w:pPr>
              <w:tabs>
                <w:tab w:val="left" w:pos="1276"/>
                <w:tab w:val="left" w:pos="3828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625124" w:rsidRPr="006E4D15">
              <w:rPr>
                <w:rFonts w:asciiTheme="minorHAnsi" w:hAnsiTheme="minorHAnsi" w:cstheme="minorHAnsi"/>
                <w:sz w:val="22"/>
                <w:szCs w:val="22"/>
              </w:rPr>
              <w:t xml:space="preserve">atriumhydroxid </w:t>
            </w:r>
          </w:p>
          <w:p w14:paraId="1B5F552A" w14:textId="77777777" w:rsidR="00625124" w:rsidRPr="006E4D15" w:rsidRDefault="00625124" w:rsidP="006E4D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 xml:space="preserve">Svavelsyra </w:t>
            </w:r>
            <w:r w:rsidRPr="006E4D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Frätande 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 xml:space="preserve">Fenolftalein Giftigt 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352FDEE" w14:textId="77777777" w:rsidR="004E2345" w:rsidRPr="006E4D15" w:rsidRDefault="004E2345" w:rsidP="0099511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AEA" w14:paraId="567F7805" w14:textId="77777777" w:rsidTr="006E4D15">
        <w:tc>
          <w:tcPr>
            <w:tcW w:w="1843" w:type="dxa"/>
          </w:tcPr>
          <w:p w14:paraId="0330B56D" w14:textId="77777777" w:rsidR="00654D3F" w:rsidRPr="00654D3F" w:rsidRDefault="00654D3F" w:rsidP="00273AEA">
            <w:pPr>
              <w:spacing w:before="120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Teori</w:t>
            </w:r>
          </w:p>
        </w:tc>
        <w:tc>
          <w:tcPr>
            <w:tcW w:w="7655" w:type="dxa"/>
          </w:tcPr>
          <w:p w14:paraId="7EACBBFC" w14:textId="4C60EB27" w:rsidR="00625124" w:rsidRPr="006E4D15" w:rsidRDefault="00625124" w:rsidP="00625124">
            <w:pPr>
              <w:tabs>
                <w:tab w:val="left" w:pos="1276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>En indikator är ett organiskt färgämne, som kan betraktas som en svag syra: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E4D15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object w:dxaOrig="2980" w:dyaOrig="420" w14:anchorId="63CC389E">
                <v:shape id="_x0000_i1028" type="#_x0000_t75" style="width:148.5pt;height:21pt" o:ole="" fillcolor="window">
                  <v:imagedata r:id="rId13" o:title=""/>
                </v:shape>
                <o:OLEObject Type="Embed" ProgID="Equation.3" ShapeID="_x0000_i1028" DrawAspect="Content" ObjectID="_1633850791" r:id="rId14"/>
              </w:objec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ab/>
              <w:t>färg 1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ab/>
              <w:t>färg 2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Fenolftalein är färglös (färg 1) i formen HA men röd (färg 2) i formen </w:t>
            </w:r>
            <w:r w:rsidRPr="006E4D15">
              <w:rPr>
                <w:rFonts w:asciiTheme="minorHAnsi" w:hAnsiTheme="minorHAnsi" w:cstheme="minorHAnsi"/>
                <w:position w:val="-4"/>
                <w:sz w:val="22"/>
                <w:szCs w:val="22"/>
              </w:rPr>
              <w:object w:dxaOrig="400" w:dyaOrig="340" w14:anchorId="2CA50275">
                <v:shape id="_x0000_i1029" type="#_x0000_t75" style="width:19.5pt;height:16.5pt" o:ole="" fillcolor="window">
                  <v:imagedata r:id="rId15" o:title=""/>
                </v:shape>
                <o:OLEObject Type="Embed" ProgID="Equation.3" ShapeID="_x0000_i1029" DrawAspect="Content" ObjectID="_1633850792" r:id="rId16"/>
              </w:objec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br/>
              <w:t>Detta innebär, att sur och neutral lösning blir ofärgad, medan basisk lösning blir röd. Detta kan lättast förstås med jämviktsresonemang: Om man minskar konc. av H</w:t>
            </w:r>
            <w:r w:rsidRPr="006E4D1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E4D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 xml:space="preserve"> genom att tillsätta NaOH, förskjuts jämviktsläget åt höger och lösningen blir röd. Ökar man konc</w:t>
            </w:r>
            <w:r w:rsidR="006E4D15">
              <w:rPr>
                <w:rFonts w:asciiTheme="minorHAnsi" w:hAnsiTheme="minorHAnsi" w:cstheme="minorHAnsi"/>
                <w:sz w:val="22"/>
                <w:szCs w:val="22"/>
              </w:rPr>
              <w:t>entrationen av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6E4D1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E4D1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="006E4D15">
              <w:rPr>
                <w:rFonts w:asciiTheme="minorHAnsi" w:hAnsiTheme="minorHAnsi" w:cstheme="minorHAnsi"/>
                <w:sz w:val="22"/>
                <w:szCs w:val="22"/>
              </w:rPr>
              <w:t xml:space="preserve"> med hjälp av koncentrerad</w:t>
            </w:r>
            <w:r w:rsidRPr="006E4D15">
              <w:rPr>
                <w:rFonts w:asciiTheme="minorHAnsi" w:hAnsiTheme="minorHAnsi" w:cstheme="minorHAnsi"/>
                <w:sz w:val="22"/>
                <w:szCs w:val="22"/>
              </w:rPr>
              <w:t xml:space="preserve"> svavelsyra, förskjuts jämviktsläget åt vänster och lösningen blir färglös.</w:t>
            </w:r>
          </w:p>
          <w:p w14:paraId="43B4A4E4" w14:textId="77777777" w:rsidR="00625124" w:rsidRPr="006E4D15" w:rsidRDefault="00625124" w:rsidP="00625124">
            <w:pPr>
              <w:tabs>
                <w:tab w:val="left" w:pos="1276"/>
                <w:tab w:val="left" w:pos="38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906E" w14:textId="77777777" w:rsidR="00654D3F" w:rsidRPr="006E4D15" w:rsidRDefault="00654D3F" w:rsidP="00273A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3AEA" w14:paraId="250734DE" w14:textId="77777777" w:rsidTr="006E4D15">
        <w:tc>
          <w:tcPr>
            <w:tcW w:w="1843" w:type="dxa"/>
          </w:tcPr>
          <w:p w14:paraId="732C2A29" w14:textId="77777777" w:rsidR="004E2345" w:rsidRPr="00654D3F" w:rsidRDefault="004E2345" w:rsidP="00654D3F">
            <w:pPr>
              <w:spacing w:before="120"/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05A58A4" w14:textId="77777777" w:rsidR="004E2345" w:rsidRPr="00654D3F" w:rsidRDefault="004E2345" w:rsidP="00273AE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83DF5A" w14:textId="77777777" w:rsidR="00CC567E" w:rsidRPr="00EF33EB" w:rsidRDefault="00CC567E" w:rsidP="00EF33EB">
      <w:pPr>
        <w:spacing w:after="120"/>
        <w:ind w:left="720"/>
        <w:rPr>
          <w:i/>
        </w:rPr>
      </w:pPr>
    </w:p>
    <w:sectPr w:rsidR="00CC567E" w:rsidRPr="00EF33EB" w:rsidSect="0097303E">
      <w:footerReference w:type="default" r:id="rId17"/>
      <w:pgSz w:w="11906" w:h="16838"/>
      <w:pgMar w:top="1440" w:right="1080" w:bottom="1440" w:left="1080" w:header="708" w:footer="1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F45C" w14:textId="77777777" w:rsidR="00EA01C6" w:rsidRDefault="00EA01C6" w:rsidP="00316ED3">
      <w:r>
        <w:separator/>
      </w:r>
    </w:p>
  </w:endnote>
  <w:endnote w:type="continuationSeparator" w:id="0">
    <w:p w14:paraId="24CFF4B9" w14:textId="77777777" w:rsidR="00EA01C6" w:rsidRDefault="00EA01C6" w:rsidP="003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CC46" w14:textId="77777777"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Theme="minorHAnsi" w:hAnsiTheme="minorHAnsi"/>
        <w:noProof/>
        <w:sz w:val="20"/>
        <w:szCs w:val="20"/>
        <w:lang w:val="en-GB" w:eastAsia="en-GB"/>
      </w:rPr>
      <w:drawing>
        <wp:anchor distT="180340" distB="0" distL="114300" distR="114300" simplePos="0" relativeHeight="251660288" behindDoc="0" locked="0" layoutInCell="1" allowOverlap="1" wp14:anchorId="7666BDE6" wp14:editId="5E902567">
          <wp:simplePos x="0" y="0"/>
          <wp:positionH relativeFrom="column">
            <wp:posOffset>2834640</wp:posOffset>
          </wp:positionH>
          <wp:positionV relativeFrom="paragraph">
            <wp:posOffset>22225</wp:posOffset>
          </wp:positionV>
          <wp:extent cx="686435" cy="240030"/>
          <wp:effectExtent l="0" t="0" r="0" b="0"/>
          <wp:wrapSquare wrapText="bothSides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c icke kommersi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81F">
      <w:rPr>
        <w:rFonts w:ascii="Geneva" w:hAnsi="Geneva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5AF7BC34" wp14:editId="6CFC0449">
          <wp:simplePos x="0" y="0"/>
          <wp:positionH relativeFrom="column">
            <wp:posOffset>12700</wp:posOffset>
          </wp:positionH>
          <wp:positionV relativeFrom="paragraph">
            <wp:posOffset>24765</wp:posOffset>
          </wp:positionV>
          <wp:extent cx="727075" cy="688340"/>
          <wp:effectExtent l="0" t="0" r="9525" b="0"/>
          <wp:wrapSquare wrapText="bothSides"/>
          <wp:docPr id="9" name="Bild 2" descr="krc-logo-cmykljusare fär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c-logo-cmykljusare färg cop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26D">
      <w:rPr>
        <w:rFonts w:asciiTheme="minorHAnsi" w:hAnsiTheme="minorHAnsi"/>
        <w:sz w:val="20"/>
        <w:szCs w:val="20"/>
      </w:rPr>
      <w:ptab w:relativeTo="margin" w:alignment="center" w:leader="none"/>
    </w:r>
    <w:r w:rsidRPr="002A426D">
      <w:rPr>
        <w:rFonts w:asciiTheme="minorHAnsi" w:hAnsiTheme="minorHAnsi"/>
        <w:sz w:val="20"/>
        <w:szCs w:val="20"/>
      </w:rPr>
      <w:ptab w:relativeTo="margin" w:alignment="right" w:leader="none"/>
    </w:r>
    <w:r w:rsidRPr="00F346F4">
      <w:rPr>
        <w:rFonts w:ascii="Geneva" w:hAnsi="Geneva"/>
        <w:sz w:val="18"/>
        <w:szCs w:val="18"/>
      </w:rPr>
      <w:t>[F-3,4-6,H,G]</w:t>
    </w:r>
  </w:p>
  <w:p w14:paraId="140D6DA7" w14:textId="77777777" w:rsidR="00162650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 w:rsidRPr="00F346F4">
      <w:rPr>
        <w:rFonts w:ascii="Geneva" w:hAnsi="Geneva"/>
        <w:sz w:val="18"/>
        <w:szCs w:val="18"/>
      </w:rPr>
      <w:tab/>
    </w:r>
    <w:r w:rsidRPr="00F346F4"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>2017-02-24</w:t>
    </w:r>
  </w:p>
  <w:p w14:paraId="62345970" w14:textId="77777777" w:rsidR="00162650" w:rsidRPr="00F346F4" w:rsidRDefault="00162650" w:rsidP="00162650">
    <w:pPr>
      <w:pStyle w:val="Sidfot"/>
      <w:tabs>
        <w:tab w:val="clear" w:pos="9072"/>
        <w:tab w:val="right" w:pos="0"/>
      </w:tabs>
      <w:jc w:val="right"/>
      <w:rPr>
        <w:rFonts w:ascii="Geneva" w:hAnsi="Geneva"/>
        <w:sz w:val="18"/>
        <w:szCs w:val="18"/>
      </w:rPr>
    </w:pPr>
    <w:r>
      <w:rPr>
        <w:rFonts w:ascii="Geneva" w:hAnsi="Geneva"/>
        <w:sz w:val="18"/>
        <w:szCs w:val="18"/>
      </w:rPr>
      <w:tab/>
    </w:r>
    <w:r>
      <w:rPr>
        <w:rFonts w:ascii="Geneva" w:hAnsi="Geneva"/>
        <w:sz w:val="18"/>
        <w:szCs w:val="18"/>
      </w:rPr>
      <w:tab/>
    </w:r>
    <w:hyperlink r:id="rId3" w:history="1">
      <w:r w:rsidRPr="001C79E4">
        <w:rPr>
          <w:rStyle w:val="Hyperlnk"/>
          <w:rFonts w:ascii="Geneva" w:hAnsi="Geneva"/>
          <w:sz w:val="22"/>
          <w:szCs w:val="22"/>
        </w:rPr>
        <w:t>www.krc.su.se</w:t>
      </w:r>
    </w:hyperlink>
  </w:p>
  <w:p w14:paraId="0D57F941" w14:textId="77777777" w:rsidR="00A91D40" w:rsidRPr="00162650" w:rsidRDefault="00A91D40" w:rsidP="001626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C42CA" w14:textId="77777777" w:rsidR="00EA01C6" w:rsidRDefault="00EA01C6" w:rsidP="00316ED3">
      <w:r>
        <w:separator/>
      </w:r>
    </w:p>
  </w:footnote>
  <w:footnote w:type="continuationSeparator" w:id="0">
    <w:p w14:paraId="3B804D3E" w14:textId="77777777" w:rsidR="00EA01C6" w:rsidRDefault="00EA01C6" w:rsidP="0031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37544"/>
    <w:multiLevelType w:val="hybridMultilevel"/>
    <w:tmpl w:val="FA4851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226A2F"/>
    <w:multiLevelType w:val="hybridMultilevel"/>
    <w:tmpl w:val="DC9262C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CA1587"/>
    <w:multiLevelType w:val="hybridMultilevel"/>
    <w:tmpl w:val="1DB4E9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57A12"/>
    <w:multiLevelType w:val="hybridMultilevel"/>
    <w:tmpl w:val="CF94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6"/>
    <w:rsid w:val="000B6FC2"/>
    <w:rsid w:val="000C31E6"/>
    <w:rsid w:val="00115A27"/>
    <w:rsid w:val="001350D5"/>
    <w:rsid w:val="00140303"/>
    <w:rsid w:val="00147BF5"/>
    <w:rsid w:val="00162650"/>
    <w:rsid w:val="00180209"/>
    <w:rsid w:val="00185117"/>
    <w:rsid w:val="0019655F"/>
    <w:rsid w:val="001B5D34"/>
    <w:rsid w:val="00224814"/>
    <w:rsid w:val="002323FD"/>
    <w:rsid w:val="002716AC"/>
    <w:rsid w:val="00273AEA"/>
    <w:rsid w:val="002A44B8"/>
    <w:rsid w:val="002D40CF"/>
    <w:rsid w:val="002E5507"/>
    <w:rsid w:val="00316ED3"/>
    <w:rsid w:val="00326FF9"/>
    <w:rsid w:val="003507F3"/>
    <w:rsid w:val="003840E0"/>
    <w:rsid w:val="003D06FC"/>
    <w:rsid w:val="003D339D"/>
    <w:rsid w:val="00434F32"/>
    <w:rsid w:val="004C06EF"/>
    <w:rsid w:val="004E0B6C"/>
    <w:rsid w:val="004E2345"/>
    <w:rsid w:val="00500E0D"/>
    <w:rsid w:val="00506D5C"/>
    <w:rsid w:val="005112D7"/>
    <w:rsid w:val="00515CF0"/>
    <w:rsid w:val="00571833"/>
    <w:rsid w:val="005B1835"/>
    <w:rsid w:val="00607EA9"/>
    <w:rsid w:val="00617BCF"/>
    <w:rsid w:val="00625124"/>
    <w:rsid w:val="006457AA"/>
    <w:rsid w:val="00654D3F"/>
    <w:rsid w:val="00655DC4"/>
    <w:rsid w:val="006805AC"/>
    <w:rsid w:val="006E4D15"/>
    <w:rsid w:val="00702AEF"/>
    <w:rsid w:val="00713E67"/>
    <w:rsid w:val="00740A52"/>
    <w:rsid w:val="007809C6"/>
    <w:rsid w:val="007C66E4"/>
    <w:rsid w:val="007D46B6"/>
    <w:rsid w:val="007D61AF"/>
    <w:rsid w:val="007D6235"/>
    <w:rsid w:val="007E1B3F"/>
    <w:rsid w:val="00806665"/>
    <w:rsid w:val="00806A9D"/>
    <w:rsid w:val="0089352F"/>
    <w:rsid w:val="008B1982"/>
    <w:rsid w:val="00925BB0"/>
    <w:rsid w:val="009332D0"/>
    <w:rsid w:val="00965E7E"/>
    <w:rsid w:val="00966E60"/>
    <w:rsid w:val="0097303E"/>
    <w:rsid w:val="00994CC6"/>
    <w:rsid w:val="0099511E"/>
    <w:rsid w:val="00A1337C"/>
    <w:rsid w:val="00A91D40"/>
    <w:rsid w:val="00AB6DA2"/>
    <w:rsid w:val="00AE51D7"/>
    <w:rsid w:val="00AE592F"/>
    <w:rsid w:val="00B073FB"/>
    <w:rsid w:val="00B64B4E"/>
    <w:rsid w:val="00BB02A8"/>
    <w:rsid w:val="00BE6A49"/>
    <w:rsid w:val="00C25CAD"/>
    <w:rsid w:val="00CA46A2"/>
    <w:rsid w:val="00CC567E"/>
    <w:rsid w:val="00CE00EC"/>
    <w:rsid w:val="00DA0637"/>
    <w:rsid w:val="00DB3692"/>
    <w:rsid w:val="00DE1AA7"/>
    <w:rsid w:val="00DF7E35"/>
    <w:rsid w:val="00E27D1A"/>
    <w:rsid w:val="00E574DE"/>
    <w:rsid w:val="00E732A5"/>
    <w:rsid w:val="00EA01C6"/>
    <w:rsid w:val="00EB27E8"/>
    <w:rsid w:val="00EC4D1F"/>
    <w:rsid w:val="00EE0746"/>
    <w:rsid w:val="00EF33EB"/>
    <w:rsid w:val="00F154EE"/>
    <w:rsid w:val="00F21C31"/>
    <w:rsid w:val="00F346F4"/>
    <w:rsid w:val="00F83E16"/>
    <w:rsid w:val="00F91B77"/>
    <w:rsid w:val="00FA53EC"/>
    <w:rsid w:val="00FC7996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63195"/>
  <w15:chartTrackingRefBased/>
  <w15:docId w15:val="{763712F9-C60E-4FEA-99E1-5BFF5937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6ED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6E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ED3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6265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E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274">
          <w:marLeft w:val="0"/>
          <w:marRight w:val="0"/>
          <w:marTop w:val="15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</w:div>
      </w:divsChild>
    </w:div>
    <w:div w:id="1379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c.su.se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y2251\AppData\Local\Microsoft\Windows\INetCache\IE\LGNF8ZIK\Mall%20laborations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A342-507D-40AE-9FB9-6908E2E6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laborationsbeskrivning</Template>
  <TotalTime>3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Förslag till labratioesbeskrivning</vt:lpstr>
      <vt:lpstr>Förslag till labratioesbeskrivning</vt:lpstr>
    </vt:vector>
  </TitlesOfParts>
  <Company>SU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labratioesbeskrivning</dc:title>
  <dc:subject/>
  <dc:creator>Nils-Erik Nylund</dc:creator>
  <cp:keywords/>
  <cp:lastModifiedBy>Susann Kristiansen</cp:lastModifiedBy>
  <cp:revision>3</cp:revision>
  <cp:lastPrinted>2017-02-23T18:04:00Z</cp:lastPrinted>
  <dcterms:created xsi:type="dcterms:W3CDTF">2017-06-29T14:23:00Z</dcterms:created>
  <dcterms:modified xsi:type="dcterms:W3CDTF">2019-10-29T09:40:00Z</dcterms:modified>
</cp:coreProperties>
</file>